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40"/>
        <w:jc w:val="center"/>
        <w:rPr/>
      </w:pPr>
      <w:r>
        <w:rPr>
          <w:b/>
          <w:bCs/>
          <w:color w:val="1F3864"/>
          <w:sz w:val="30"/>
          <w:szCs w:val="30"/>
        </w:rPr>
        <w:t>SAHA INSTITUTE OF NUCLEAR PHYSICS</w:t>
      </w:r>
    </w:p>
    <w:p>
      <w:pPr>
        <w:pStyle w:val="Normal"/>
        <w:spacing w:before="0" w:after="40"/>
        <w:jc w:val="center"/>
        <w:rPr/>
      </w:pPr>
      <w:r>
        <w:rPr>
          <w:color w:val="555555"/>
          <w:sz w:val="19"/>
          <w:szCs w:val="19"/>
        </w:rPr>
        <w:t>1/AF, Bidhannagar, Kolkata – 700064</w:t>
      </w:r>
    </w:p>
    <w:p>
      <w:pPr>
        <w:pStyle w:val="Normal"/>
        <w:spacing w:before="0" w:after="200"/>
        <w:jc w:val="center"/>
        <w:rPr/>
      </w:pPr>
      <w:r>
        <w:rPr/>
      </w:r>
    </w:p>
    <w:p>
      <w:pPr>
        <w:pStyle w:val="Normal"/>
        <w:pBdr>
          <w:bottom w:val="double" w:sz="8" w:space="0" w:color="1F3864"/>
        </w:pBdr>
        <w:spacing w:before="0" w:after="60"/>
        <w:jc w:val="center"/>
        <w:rPr/>
      </w:pPr>
      <w:r>
        <w:rPr>
          <w:b/>
          <w:bCs/>
          <w:sz w:val="26"/>
          <w:szCs w:val="26"/>
        </w:rPr>
        <w:t>PURCHASE REQUISITION FORM</w:t>
      </w:r>
    </w:p>
    <w:p>
      <w:pPr>
        <w:pStyle w:val="Normal"/>
        <w:spacing w:before="100" w:after="100"/>
        <w:jc w:val="center"/>
        <w:rPr/>
      </w:pPr>
      <w:r>
        <w:rPr>
          <w:b/>
          <w:bCs/>
          <w:color w:val="1F3864"/>
          <w:sz w:val="21"/>
          <w:szCs w:val="21"/>
        </w:rPr>
        <w:t>Purchase through Repeat Order — Form 5</w:t>
      </w:r>
    </w:p>
    <w:p>
      <w:pPr>
        <w:pStyle w:val="Normal"/>
        <w:spacing w:before="0" w:after="160"/>
        <w:rPr/>
      </w:pPr>
      <w:r>
        <w:rPr>
          <w:i/>
          <w:iCs/>
          <w:color w:val="777777"/>
          <w:sz w:val="18"/>
          <w:szCs w:val="18"/>
        </w:rPr>
        <w:t>For procuring additional quantities against an active or recently concluded contract, under strict compliance restrictions. Applicable only where the original order was awarded through Open Tender.</w:t>
      </w:r>
    </w:p>
    <w:p>
      <w:pPr>
        <w:pStyle w:val="Normal"/>
        <w:spacing w:before="0" w:after="160"/>
        <w:rPr/>
      </w:pPr>
      <w:r>
        <w:rPr>
          <w:b/>
          <w:bCs/>
          <w:sz w:val="20"/>
          <w:szCs w:val="20"/>
        </w:rPr>
        <w:t xml:space="preserve">File No.: </w:t>
      </w:r>
      <w:r>
        <w:rPr>
          <w:sz w:val="20"/>
          <w:szCs w:val="20"/>
        </w:rPr>
        <w:t>____</w:t>
      </w:r>
      <w:r>
        <w:rPr>
          <w:color w:themeColor="light1" w:themeShade="a6" w:val="A6A6A6"/>
          <w:sz w:val="20"/>
          <w:szCs w:val="20"/>
        </w:rPr>
        <w:t>DIV/INDENTOR’S ID/DATE/FILE NO</w:t>
      </w:r>
      <w:r>
        <w:rPr>
          <w:sz w:val="20"/>
          <w:szCs w:val="20"/>
        </w:rPr>
        <w:t>____</w:t>
      </w:r>
      <w:r>
        <w:rPr>
          <w:b/>
          <w:bCs/>
          <w:sz w:val="20"/>
          <w:szCs w:val="20"/>
        </w:rPr>
        <w:t xml:space="preserve">        Date: </w:t>
      </w:r>
      <w:r>
        <w:rPr>
          <w:sz w:val="20"/>
          <w:szCs w:val="20"/>
        </w:rPr>
        <w:t>____________________</w:t>
      </w:r>
    </w:p>
    <w:p>
      <w:pPr>
        <w:pStyle w:val="Normal"/>
        <w:spacing w:before="100" w:after="100"/>
        <w:rPr/>
      </w:pPr>
      <w:r>
        <w:rPr>
          <w:b/>
          <w:bCs/>
          <w:sz w:val="19"/>
          <w:szCs w:val="19"/>
        </w:rPr>
        <w:t>File Movement Summary (tick / date-stamp at each stage as the file moves):</w:t>
      </w:r>
    </w:p>
    <w:tbl>
      <w:tblPr>
        <w:tblW w:w="10465" w:type="dxa"/>
        <w:jc w:val="left"/>
        <w:tblInd w:w="100" w:type="dxa"/>
        <w:tblLayout w:type="fixed"/>
        <w:tblCellMar>
          <w:top w:w="60" w:type="dxa"/>
          <w:left w:w="100" w:type="dxa"/>
          <w:bottom w:w="60" w:type="dxa"/>
          <w:right w:w="100" w:type="dxa"/>
        </w:tblCellMar>
      </w:tblPr>
      <w:tblGrid>
        <w:gridCol w:w="1495"/>
        <w:gridCol w:w="1494"/>
        <w:gridCol w:w="1496"/>
        <w:gridCol w:w="1494"/>
        <w:gridCol w:w="1497"/>
        <w:gridCol w:w="1493"/>
        <w:gridCol w:w="1495"/>
      </w:tblGrid>
      <w:tr>
        <w:trPr>
          <w:tblHeader w:val="true"/>
        </w:trPr>
        <w:tc>
          <w:tcPr>
            <w:tcW w:w="149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fill="FED4BB" w:val="clear"/>
            <w:vAlign w:val="center"/>
          </w:tcPr>
          <w:p>
            <w:pPr>
              <w:pStyle w:val="Normal"/>
              <w:rPr/>
            </w:pPr>
            <w:r>
              <w:rPr>
                <w:b/>
                <w:bCs/>
                <w:sz w:val="15"/>
                <w:szCs w:val="15"/>
              </w:rPr>
              <w:t>USR</w:t>
            </w:r>
          </w:p>
        </w:tc>
        <w:tc>
          <w:tcPr>
            <w:tcW w:w="149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fill="FED4BB" w:val="clear"/>
            <w:vAlign w:val="center"/>
          </w:tcPr>
          <w:p>
            <w:pPr>
              <w:pStyle w:val="Normal"/>
              <w:rPr/>
            </w:pPr>
            <w:r>
              <w:rPr>
                <w:b/>
                <w:bCs/>
                <w:sz w:val="15"/>
                <w:szCs w:val="15"/>
              </w:rPr>
              <w:t>PUR</w:t>
            </w:r>
          </w:p>
        </w:tc>
        <w:tc>
          <w:tcPr>
            <w:tcW w:w="149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fill="FED4BB" w:val="clear"/>
            <w:vAlign w:val="center"/>
          </w:tcPr>
          <w:p>
            <w:pPr>
              <w:pStyle w:val="Normal"/>
              <w:rPr/>
            </w:pPr>
            <w:r>
              <w:rPr>
                <w:b/>
                <w:bCs/>
                <w:sz w:val="15"/>
                <w:szCs w:val="15"/>
              </w:rPr>
              <w:t>PWC</w:t>
            </w:r>
          </w:p>
        </w:tc>
        <w:tc>
          <w:tcPr>
            <w:tcW w:w="149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fill="FED4BB" w:val="clear"/>
            <w:vAlign w:val="center"/>
          </w:tcPr>
          <w:p>
            <w:pPr>
              <w:pStyle w:val="Normal"/>
              <w:rPr/>
            </w:pPr>
            <w:r>
              <w:rPr>
                <w:b/>
                <w:bCs/>
                <w:sz w:val="15"/>
                <w:szCs w:val="15"/>
              </w:rPr>
              <w:t>PAC(&gt;₹5L)</w:t>
            </w:r>
          </w:p>
        </w:tc>
        <w:tc>
          <w:tcPr>
            <w:tcW w:w="149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fill="FED4BB" w:val="clear"/>
            <w:vAlign w:val="center"/>
          </w:tcPr>
          <w:p>
            <w:pPr>
              <w:pStyle w:val="Normal"/>
              <w:rPr/>
            </w:pPr>
            <w:r>
              <w:rPr>
                <w:b/>
                <w:bCs/>
                <w:sz w:val="15"/>
                <w:szCs w:val="15"/>
              </w:rPr>
              <w:t>BPC</w:t>
            </w:r>
          </w:p>
        </w:tc>
        <w:tc>
          <w:tcPr>
            <w:tcW w:w="149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fill="FED4BB" w:val="clear"/>
            <w:vAlign w:val="center"/>
          </w:tcPr>
          <w:p>
            <w:pPr>
              <w:pStyle w:val="Normal"/>
              <w:rPr/>
            </w:pPr>
            <w:r>
              <w:rPr>
                <w:b/>
                <w:bCs/>
                <w:sz w:val="15"/>
                <w:szCs w:val="15"/>
              </w:rPr>
              <w:t>CFA</w:t>
            </w:r>
          </w:p>
        </w:tc>
        <w:tc>
          <w:tcPr>
            <w:tcW w:w="149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fill="FED4BB" w:val="clear"/>
            <w:vAlign w:val="center"/>
          </w:tcPr>
          <w:p>
            <w:pPr>
              <w:pStyle w:val="Normal"/>
              <w:rPr/>
            </w:pPr>
            <w:r>
              <w:rPr>
                <w:b/>
                <w:bCs/>
                <w:sz w:val="15"/>
                <w:szCs w:val="15"/>
              </w:rPr>
              <w:t>PUR (PO)</w:t>
            </w:r>
          </w:p>
        </w:tc>
      </w:tr>
      <w:tr>
        <w:trPr/>
        <w:tc>
          <w:tcPr>
            <w:tcW w:w="149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9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9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9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9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9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9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149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9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9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9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9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9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9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</w:tbl>
    <w:p>
      <w:pPr>
        <w:pStyle w:val="Normal"/>
        <w:shd w:fill="FB7E34" w:val="clear"/>
        <w:spacing w:before="300" w:after="120"/>
        <w:rPr/>
      </w:pPr>
      <w:r>
        <w:rPr>
          <w:b/>
          <w:bCs/>
          <w:color w:val="FFFFFF"/>
          <w:sz w:val="22"/>
          <w:szCs w:val="22"/>
        </w:rPr>
        <w:t xml:space="preserve">  </w:t>
      </w:r>
      <w:r>
        <w:rPr>
          <w:b/>
          <w:bCs/>
          <w:color w:val="FFFFFF"/>
          <w:sz w:val="22"/>
          <w:szCs w:val="22"/>
        </w:rPr>
        <w:t>1.  General Information</w:t>
      </w:r>
    </w:p>
    <w:p>
      <w:pPr>
        <w:pStyle w:val="Normal"/>
        <w:spacing w:before="0" w:after="160"/>
        <w:rPr/>
      </w:pPr>
      <w:r>
        <w:rPr>
          <w:b/>
          <w:bCs/>
          <w:sz w:val="20"/>
          <w:szCs w:val="20"/>
        </w:rPr>
        <w:t xml:space="preserve">Division / Section: </w:t>
      </w:r>
      <w:r>
        <w:rPr>
          <w:sz w:val="20"/>
          <w:szCs w:val="20"/>
        </w:rPr>
        <w:t>_______________________________________________________</w:t>
      </w:r>
    </w:p>
    <w:p>
      <w:pPr>
        <w:pStyle w:val="Normal"/>
        <w:spacing w:before="0" w:after="160"/>
        <w:rPr/>
      </w:pPr>
      <w:r>
        <w:rPr>
          <w:b/>
          <w:bCs/>
          <w:sz w:val="20"/>
          <w:szCs w:val="20"/>
        </w:rPr>
        <w:t xml:space="preserve">Indentor’s ID: </w:t>
      </w:r>
      <w:r>
        <w:rPr>
          <w:sz w:val="20"/>
          <w:szCs w:val="20"/>
        </w:rPr>
        <w:t xml:space="preserve">_________________ </w:t>
      </w:r>
      <w:r>
        <w:rPr>
          <w:b/>
          <w:bCs/>
          <w:sz w:val="20"/>
          <w:szCs w:val="20"/>
        </w:rPr>
        <w:t xml:space="preserve">Indentor Name: </w:t>
      </w:r>
      <w:r>
        <w:rPr>
          <w:sz w:val="20"/>
          <w:szCs w:val="20"/>
        </w:rPr>
        <w:t>___________________________________________________________</w:t>
      </w:r>
    </w:p>
    <w:p>
      <w:pPr>
        <w:pStyle w:val="Normal"/>
        <w:spacing w:before="0" w:after="160"/>
        <w:rPr/>
      </w:pPr>
      <w:r>
        <w:rPr>
          <w:b/>
          <w:bCs/>
          <w:sz w:val="20"/>
          <w:szCs w:val="20"/>
        </w:rPr>
        <w:t xml:space="preserve">Email ID: </w:t>
      </w:r>
      <w:r>
        <w:rPr>
          <w:sz w:val="20"/>
          <w:szCs w:val="20"/>
        </w:rPr>
        <w:t xml:space="preserve">_______________________________________ </w:t>
      </w:r>
      <w:r>
        <w:rPr>
          <w:b/>
          <w:bCs/>
          <w:sz w:val="20"/>
          <w:szCs w:val="20"/>
        </w:rPr>
        <w:t xml:space="preserve">Phone No. (Extn. / Mobile): </w:t>
      </w:r>
      <w:r>
        <w:rPr>
          <w:sz w:val="20"/>
          <w:szCs w:val="20"/>
        </w:rPr>
        <w:t>_______________________________</w:t>
      </w:r>
    </w:p>
    <w:p>
      <w:pPr>
        <w:pStyle w:val="Normal"/>
        <w:spacing w:before="0" w:after="160"/>
        <w:rPr/>
      </w:pPr>
      <w:r>
        <w:rPr>
          <w:b/>
          <w:bCs/>
          <w:sz w:val="20"/>
          <w:szCs w:val="20"/>
        </w:rPr>
        <w:t xml:space="preserve">Item Description: </w:t>
      </w:r>
      <w:r>
        <w:rPr>
          <w:sz w:val="20"/>
          <w:szCs w:val="20"/>
        </w:rPr>
        <w:t>_____________________________________________________________</w:t>
      </w:r>
    </w:p>
    <w:p>
      <w:pPr>
        <w:pStyle w:val="Normal"/>
        <w:spacing w:before="0" w:after="160"/>
        <w:rPr/>
      </w:pPr>
      <w:r>
        <w:rPr>
          <w:b/>
          <w:bCs/>
          <w:sz w:val="20"/>
          <w:szCs w:val="20"/>
        </w:rPr>
        <w:t xml:space="preserve">Original PO No. &amp; Date: </w:t>
      </w:r>
      <w:r>
        <w:rPr>
          <w:sz w:val="20"/>
          <w:szCs w:val="20"/>
        </w:rPr>
        <w:t>_______________________________________________________</w:t>
      </w:r>
    </w:p>
    <w:p>
      <w:pPr>
        <w:pStyle w:val="Normal"/>
        <w:spacing w:before="0" w:after="160"/>
        <w:rPr/>
      </w:pPr>
      <w:r>
        <w:rPr>
          <w:b/>
          <w:bCs/>
          <w:sz w:val="20"/>
          <w:szCs w:val="20"/>
        </w:rPr>
        <w:t xml:space="preserve">Original PO Value (₹) &amp; Quantity Supplied: </w:t>
      </w:r>
      <w:r>
        <w:rPr>
          <w:sz w:val="20"/>
          <w:szCs w:val="20"/>
        </w:rPr>
        <w:t>_________________________________________________________________</w:t>
      </w:r>
    </w:p>
    <w:p>
      <w:pPr>
        <w:pStyle w:val="Normal"/>
        <w:spacing w:before="0" w:after="160"/>
        <w:rPr/>
      </w:pPr>
      <w:r>
        <w:rPr>
          <w:b/>
          <w:bCs/>
          <w:sz w:val="20"/>
          <w:szCs w:val="20"/>
        </w:rPr>
        <w:t xml:space="preserve">Original Mode of Procurement (must be Open Tender): </w:t>
      </w:r>
      <w:r>
        <w:rPr>
          <w:sz w:val="20"/>
          <w:szCs w:val="20"/>
        </w:rPr>
        <w:t>_______________________________________________________</w:t>
      </w:r>
    </w:p>
    <w:p>
      <w:pPr>
        <w:pStyle w:val="Normal"/>
        <w:spacing w:before="0" w:after="160"/>
        <w:rPr/>
      </w:pPr>
      <w:r>
        <w:rPr>
          <w:b/>
          <w:bCs/>
          <w:sz w:val="20"/>
          <w:szCs w:val="20"/>
        </w:rPr>
        <w:t xml:space="preserve">Additional Quantity Now Required: </w:t>
      </w:r>
      <w:r>
        <w:rPr>
          <w:sz w:val="20"/>
          <w:szCs w:val="20"/>
        </w:rPr>
        <w:t>________________________________________________________</w:t>
      </w:r>
    </w:p>
    <w:p>
      <w:pPr>
        <w:pStyle w:val="Normal"/>
        <w:spacing w:before="0" w:after="160"/>
        <w:rPr/>
      </w:pPr>
      <w:r>
        <w:rPr>
          <w:b/>
          <w:bCs/>
          <w:sz w:val="20"/>
          <w:szCs w:val="20"/>
        </w:rPr>
        <w:t xml:space="preserve">Estimated Value of Repeat Order (₹): </w:t>
      </w:r>
      <w:r>
        <w:rPr>
          <w:sz w:val="20"/>
          <w:szCs w:val="20"/>
        </w:rPr>
        <w:t>_______________________________________________________</w:t>
      </w:r>
    </w:p>
    <w:p>
      <w:pPr>
        <w:pStyle w:val="Normal"/>
        <w:shd w:fill="FB7E34" w:val="clear"/>
        <w:spacing w:before="300" w:after="120"/>
        <w:rPr/>
      </w:pPr>
      <w:r>
        <w:rPr>
          <w:b/>
          <w:bCs/>
          <w:color w:val="FFFFFF"/>
          <w:sz w:val="22"/>
          <w:szCs w:val="22"/>
        </w:rPr>
        <w:t xml:space="preserve">  </w:t>
      </w:r>
      <w:r>
        <w:rPr>
          <w:b/>
          <w:bCs/>
          <w:color w:val="FFFFFF"/>
          <w:sz w:val="22"/>
          <w:szCs w:val="22"/>
        </w:rPr>
        <w:t>2.  Scalability Demand &amp; Justification</w:t>
      </w:r>
    </w:p>
    <w:p>
      <w:pPr>
        <w:pStyle w:val="Normal"/>
        <w:spacing w:before="0" w:after="100"/>
        <w:rPr/>
      </w:pPr>
      <w:r>
        <w:rPr>
          <w:i/>
          <w:iCs/>
          <w:color w:val="555555"/>
          <w:sz w:val="18"/>
          <w:szCs w:val="18"/>
        </w:rPr>
        <w:t>Step 1 — Scalability Demand &amp; Justification</w:t>
      </w:r>
    </w:p>
    <w:p>
      <w:pPr>
        <w:pStyle w:val="Normal"/>
        <w:spacing w:before="0" w:after="100"/>
        <w:rPr/>
      </w:pPr>
      <w:r>
        <w:rPr>
          <w:b/>
          <w:bCs/>
          <w:sz w:val="20"/>
          <w:szCs w:val="20"/>
        </w:rPr>
        <w:t>Written justification detailing why the extra units are required immediately for the ongoing project, demonstrating the programmatic need for scaling up the existing setup:</w:t>
      </w:r>
    </w:p>
    <w:p>
      <w:pPr>
        <w:pStyle w:val="Normal"/>
        <w:pBdr>
          <w:bottom w:val="single" w:sz="4" w:space="0" w:color="999999"/>
        </w:pBdr>
        <w:spacing w:before="0" w:after="160"/>
        <w:rPr/>
      </w:pPr>
      <w:r>
        <w:rPr>
          <w:sz w:val="19"/>
          <w:szCs w:val="19"/>
        </w:rPr>
        <w:t xml:space="preserve"> </w:t>
      </w:r>
    </w:p>
    <w:p>
      <w:pPr>
        <w:pStyle w:val="Normal"/>
        <w:pBdr>
          <w:bottom w:val="single" w:sz="4" w:space="0" w:color="999999"/>
        </w:pBdr>
        <w:spacing w:before="0" w:after="160"/>
        <w:rPr/>
      </w:pPr>
      <w:r>
        <w:rPr>
          <w:sz w:val="19"/>
          <w:szCs w:val="19"/>
        </w:rPr>
        <w:t xml:space="preserve"> </w:t>
      </w:r>
    </w:p>
    <w:p>
      <w:pPr>
        <w:pStyle w:val="Normal"/>
        <w:pBdr>
          <w:bottom w:val="single" w:sz="4" w:space="0" w:color="999999"/>
        </w:pBdr>
        <w:spacing w:before="0" w:after="160"/>
        <w:rPr/>
      </w:pPr>
      <w:r>
        <w:rPr>
          <w:sz w:val="19"/>
          <w:szCs w:val="19"/>
        </w:rPr>
        <w:t xml:space="preserve"> </w:t>
      </w:r>
    </w:p>
    <w:tbl>
      <w:tblPr>
        <w:tblW w:w="5000" w:type="pct"/>
        <w:jc w:val="left"/>
        <w:tblInd w:w="100" w:type="dxa"/>
        <w:tblLayout w:type="fixed"/>
        <w:tblCellMar>
          <w:top w:w="60" w:type="dxa"/>
          <w:left w:w="100" w:type="dxa"/>
          <w:bottom w:w="60" w:type="dxa"/>
          <w:right w:w="100" w:type="dxa"/>
        </w:tblCellMar>
      </w:tblPr>
      <w:tblGrid>
        <w:gridCol w:w="2833"/>
        <w:gridCol w:w="2837"/>
        <w:gridCol w:w="2834"/>
        <w:gridCol w:w="1961"/>
      </w:tblGrid>
      <w:tr>
        <w:trPr>
          <w:tblHeader w:val="true"/>
        </w:trPr>
        <w:tc>
          <w:tcPr>
            <w:tcW w:w="283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</w:tcBorders>
            <w:shd w:fill="FED4BB" w:val="clear"/>
            <w:vAlign w:val="center"/>
          </w:tcPr>
          <w:p>
            <w:pPr>
              <w:pStyle w:val="Normal"/>
              <w:rPr/>
            </w:pPr>
            <w:r>
              <w:rPr>
                <w:b/>
                <w:bCs/>
                <w:i w:val="false"/>
                <w:iCs w:val="false"/>
                <w:sz w:val="19"/>
                <w:szCs w:val="19"/>
              </w:rPr>
              <w:t>Name</w:t>
            </w:r>
          </w:p>
        </w:tc>
        <w:tc>
          <w:tcPr>
            <w:tcW w:w="283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</w:tcBorders>
            <w:shd w:fill="FED4BB" w:val="clear"/>
            <w:vAlign w:val="center"/>
          </w:tcPr>
          <w:p>
            <w:pPr>
              <w:pStyle w:val="Normal"/>
              <w:rPr/>
            </w:pPr>
            <w:r>
              <w:rPr>
                <w:b/>
                <w:bCs/>
                <w:i w:val="false"/>
                <w:iCs w:val="false"/>
                <w:sz w:val="19"/>
                <w:szCs w:val="19"/>
              </w:rPr>
              <w:t>Role</w:t>
            </w:r>
          </w:p>
        </w:tc>
        <w:tc>
          <w:tcPr>
            <w:tcW w:w="283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</w:tcBorders>
            <w:shd w:fill="FED4BB" w:val="clear"/>
            <w:vAlign w:val="center"/>
          </w:tcPr>
          <w:p>
            <w:pPr>
              <w:pStyle w:val="Normal"/>
              <w:rPr/>
            </w:pPr>
            <w:r>
              <w:rPr>
                <w:b/>
                <w:bCs/>
                <w:i w:val="false"/>
                <w:iCs w:val="false"/>
                <w:sz w:val="19"/>
                <w:szCs w:val="19"/>
              </w:rPr>
              <w:t>Signature</w:t>
            </w:r>
          </w:p>
        </w:tc>
        <w:tc>
          <w:tcPr>
            <w:tcW w:w="196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fill="FED4BB" w:val="clear"/>
            <w:vAlign w:val="center"/>
          </w:tcPr>
          <w:p>
            <w:pPr>
              <w:pStyle w:val="Normal"/>
              <w:rPr/>
            </w:pPr>
            <w:r>
              <w:rPr>
                <w:b/>
                <w:bCs/>
                <w:i w:val="false"/>
                <w:iCs w:val="false"/>
                <w:sz w:val="19"/>
                <w:szCs w:val="19"/>
              </w:rPr>
              <w:t>Date</w:t>
            </w:r>
          </w:p>
        </w:tc>
      </w:tr>
      <w:tr>
        <w:trPr/>
        <w:tc>
          <w:tcPr>
            <w:tcW w:w="283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83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>
            <w:pPr>
              <w:pStyle w:val="Normal"/>
              <w:rPr/>
            </w:pPr>
            <w:r>
              <w:rPr>
                <w:b w:val="false"/>
                <w:bCs w:val="false"/>
                <w:i w:val="false"/>
                <w:iCs w:val="false"/>
                <w:sz w:val="19"/>
                <w:szCs w:val="19"/>
              </w:rPr>
              <w:t>Indentor / User</w:t>
            </w:r>
          </w:p>
        </w:tc>
        <w:tc>
          <w:tcPr>
            <w:tcW w:w="283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6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283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83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>
            <w:pPr>
              <w:pStyle w:val="Normal"/>
              <w:rPr/>
            </w:pPr>
            <w:r>
              <w:rPr>
                <w:b w:val="false"/>
                <w:bCs w:val="false"/>
                <w:i w:val="false"/>
                <w:iCs w:val="false"/>
                <w:sz w:val="19"/>
                <w:szCs w:val="19"/>
              </w:rPr>
              <w:t>Head of Division (HoD)</w:t>
            </w:r>
          </w:p>
        </w:tc>
        <w:tc>
          <w:tcPr>
            <w:tcW w:w="283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6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</w:tbl>
    <w:p>
      <w:pPr>
        <w:pStyle w:val="Normal"/>
        <w:shd w:fill="FB7E34" w:val="clear"/>
        <w:spacing w:before="300" w:after="120"/>
        <w:rPr/>
      </w:pPr>
      <w:r>
        <w:rPr>
          <w:b/>
          <w:bCs/>
          <w:color w:val="FFFFFF"/>
          <w:sz w:val="22"/>
          <w:szCs w:val="22"/>
        </w:rPr>
        <w:t xml:space="preserve">  </w:t>
      </w:r>
      <w:r>
        <w:rPr>
          <w:b/>
          <w:bCs/>
          <w:color w:val="FFFFFF"/>
          <w:sz w:val="22"/>
          <w:szCs w:val="22"/>
        </w:rPr>
        <w:t>3.  Market &amp; Price Check from Vendor</w:t>
      </w:r>
    </w:p>
    <w:p>
      <w:pPr>
        <w:pStyle w:val="Normal"/>
        <w:spacing w:before="0" w:after="100"/>
        <w:rPr/>
      </w:pPr>
      <w:r>
        <w:rPr>
          <w:i/>
          <w:iCs/>
          <w:color w:val="555555"/>
          <w:sz w:val="18"/>
          <w:szCs w:val="18"/>
        </w:rPr>
        <w:t>Step 2 — Market &amp; Price Check (Purchase Section)</w:t>
      </w:r>
    </w:p>
    <w:p>
      <w:pPr>
        <w:pStyle w:val="Normal"/>
        <w:spacing w:before="0" w:after="160"/>
        <w:rPr/>
      </w:pPr>
      <w:r>
        <w:rPr>
          <w:b/>
          <w:bCs/>
          <w:sz w:val="20"/>
          <w:szCs w:val="20"/>
        </w:rPr>
        <w:t xml:space="preserve">Original Vendor Name: </w:t>
      </w:r>
      <w:r>
        <w:rPr>
          <w:sz w:val="20"/>
          <w:szCs w:val="20"/>
        </w:rPr>
        <w:t>_______________________________________________________</w:t>
      </w:r>
    </w:p>
    <w:p>
      <w:pPr>
        <w:pStyle w:val="Normal"/>
        <w:spacing w:before="0" w:after="160"/>
        <w:rPr/>
      </w:pPr>
      <w:r>
        <w:rPr>
          <w:sz w:val="22"/>
          <w:szCs w:val="22"/>
        </w:rPr>
        <w:t xml:space="preserve">☐  </w:t>
      </w:r>
      <w:r>
        <w:rPr>
          <w:sz w:val="20"/>
          <w:szCs w:val="20"/>
        </w:rPr>
        <w:t>Formal written consent obtained from original vendor to supply additional quantities at the exact same rates, terms &amp; conditions</w:t>
      </w:r>
    </w:p>
    <w:p>
      <w:pPr>
        <w:pStyle w:val="Normal"/>
        <w:spacing w:before="0" w:after="160"/>
        <w:rPr/>
      </w:pPr>
      <w:r>
        <w:rPr>
          <w:b/>
          <w:bCs/>
          <w:sz w:val="20"/>
          <w:szCs w:val="20"/>
        </w:rPr>
        <w:t xml:space="preserve">Vendor Consent Letter Ref. No. &amp; Date: </w:t>
      </w:r>
      <w:r>
        <w:rPr>
          <w:sz w:val="20"/>
          <w:szCs w:val="20"/>
        </w:rPr>
        <w:t>_______________________________________________________</w:t>
      </w:r>
    </w:p>
    <w:p>
      <w:pPr>
        <w:pStyle w:val="Normal"/>
        <w:spacing w:before="0" w:after="160"/>
        <w:rPr/>
      </w:pPr>
      <w:r>
        <w:rPr>
          <w:sz w:val="22"/>
          <w:szCs w:val="22"/>
        </w:rPr>
        <w:t xml:space="preserve">☐  </w:t>
      </w:r>
      <w:r>
        <w:rPr>
          <w:sz w:val="20"/>
          <w:szCs w:val="20"/>
        </w:rPr>
        <w:t>Quick market check conducted — market prices confirmed not to have dropped since the original PO</w:t>
      </w:r>
    </w:p>
    <w:p>
      <w:pPr>
        <w:pStyle w:val="Normal"/>
        <w:spacing w:before="0" w:after="160"/>
        <w:rPr/>
      </w:pPr>
      <w:r>
        <w:rPr>
          <w:b/>
          <w:bCs/>
          <w:sz w:val="20"/>
          <w:szCs w:val="20"/>
        </w:rPr>
        <w:t xml:space="preserve">Current Indicative Market Price, if checked (₹): </w:t>
      </w:r>
      <w:r>
        <w:rPr>
          <w:sz w:val="20"/>
          <w:szCs w:val="20"/>
        </w:rPr>
        <w:t>_______________________________________________________</w:t>
      </w:r>
    </w:p>
    <w:tbl>
      <w:tblPr>
        <w:tblW w:w="5000" w:type="pct"/>
        <w:jc w:val="left"/>
        <w:tblInd w:w="100" w:type="dxa"/>
        <w:tblLayout w:type="fixed"/>
        <w:tblCellMar>
          <w:top w:w="60" w:type="dxa"/>
          <w:left w:w="100" w:type="dxa"/>
          <w:bottom w:w="60" w:type="dxa"/>
          <w:right w:w="100" w:type="dxa"/>
        </w:tblCellMar>
      </w:tblPr>
      <w:tblGrid>
        <w:gridCol w:w="2833"/>
        <w:gridCol w:w="3275"/>
        <w:gridCol w:w="2775"/>
        <w:gridCol w:w="1582"/>
      </w:tblGrid>
      <w:tr>
        <w:trPr>
          <w:tblHeader w:val="true"/>
        </w:trPr>
        <w:tc>
          <w:tcPr>
            <w:tcW w:w="283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fill="FED4BB" w:val="clear"/>
            <w:vAlign w:val="center"/>
          </w:tcPr>
          <w:p>
            <w:pPr>
              <w:pStyle w:val="Normal"/>
              <w:rPr/>
            </w:pPr>
            <w:r>
              <w:rPr>
                <w:b/>
                <w:bCs/>
                <w:i w:val="false"/>
                <w:iCs w:val="false"/>
                <w:sz w:val="19"/>
                <w:szCs w:val="19"/>
              </w:rPr>
              <w:t>Name</w:t>
            </w:r>
          </w:p>
        </w:tc>
        <w:tc>
          <w:tcPr>
            <w:tcW w:w="327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fill="FED4BB" w:val="clear"/>
            <w:vAlign w:val="center"/>
          </w:tcPr>
          <w:p>
            <w:pPr>
              <w:pStyle w:val="Normal"/>
              <w:rPr/>
            </w:pPr>
            <w:r>
              <w:rPr>
                <w:b/>
                <w:bCs/>
                <w:i w:val="false"/>
                <w:iCs w:val="false"/>
                <w:sz w:val="19"/>
                <w:szCs w:val="19"/>
              </w:rPr>
              <w:t>Role</w:t>
            </w:r>
          </w:p>
        </w:tc>
        <w:tc>
          <w:tcPr>
            <w:tcW w:w="277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fill="FED4BB" w:val="clear"/>
            <w:vAlign w:val="center"/>
          </w:tcPr>
          <w:p>
            <w:pPr>
              <w:pStyle w:val="Normal"/>
              <w:rPr/>
            </w:pPr>
            <w:r>
              <w:rPr>
                <w:b/>
                <w:bCs/>
                <w:i w:val="false"/>
                <w:iCs w:val="false"/>
                <w:sz w:val="19"/>
                <w:szCs w:val="19"/>
              </w:rPr>
              <w:t>Signature</w:t>
            </w:r>
          </w:p>
        </w:tc>
        <w:tc>
          <w:tcPr>
            <w:tcW w:w="158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fill="FED4BB" w:val="clear"/>
            <w:vAlign w:val="center"/>
          </w:tcPr>
          <w:p>
            <w:pPr>
              <w:pStyle w:val="Normal"/>
              <w:rPr/>
            </w:pPr>
            <w:r>
              <w:rPr>
                <w:b/>
                <w:bCs/>
                <w:i w:val="false"/>
                <w:iCs w:val="false"/>
                <w:sz w:val="19"/>
                <w:szCs w:val="19"/>
              </w:rPr>
              <w:t>Date</w:t>
            </w:r>
          </w:p>
        </w:tc>
      </w:tr>
      <w:tr>
        <w:trPr/>
        <w:tc>
          <w:tcPr>
            <w:tcW w:w="283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27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>
            <w:pPr>
              <w:pStyle w:val="Normal"/>
              <w:rPr/>
            </w:pPr>
            <w:r>
              <w:rPr>
                <w:b w:val="false"/>
                <w:bCs w:val="false"/>
                <w:i w:val="false"/>
                <w:iCs w:val="false"/>
                <w:sz w:val="19"/>
                <w:szCs w:val="19"/>
              </w:rPr>
              <w:t>Purchase Section — Verifying Officer</w:t>
            </w:r>
          </w:p>
        </w:tc>
        <w:tc>
          <w:tcPr>
            <w:tcW w:w="277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</w:tbl>
    <w:p>
      <w:pPr>
        <w:pStyle w:val="Normal"/>
        <w:shd w:fill="FB7E34" w:val="clear"/>
        <w:spacing w:before="300" w:after="120"/>
        <w:rPr/>
      </w:pPr>
      <w:r>
        <w:rPr>
          <w:b/>
          <w:bCs/>
          <w:color w:val="FFFFFF"/>
          <w:sz w:val="22"/>
          <w:szCs w:val="22"/>
        </w:rPr>
        <w:t xml:space="preserve">  </w:t>
      </w:r>
      <w:r>
        <w:rPr>
          <w:b/>
          <w:bCs/>
          <w:color w:val="FFFFFF"/>
          <w:sz w:val="22"/>
          <w:szCs w:val="22"/>
        </w:rPr>
        <w:t>4.  Validity Checking — Repeat Order Guardrails</w:t>
      </w:r>
    </w:p>
    <w:p>
      <w:pPr>
        <w:pStyle w:val="Normal"/>
        <w:spacing w:before="0" w:after="100"/>
        <w:rPr/>
      </w:pPr>
      <w:r>
        <w:rPr>
          <w:i/>
          <w:iCs/>
          <w:color w:val="555555"/>
          <w:sz w:val="18"/>
          <w:szCs w:val="18"/>
        </w:rPr>
        <w:t>Step 3 — Validity Checking (PWC)</w:t>
      </w:r>
    </w:p>
    <w:p>
      <w:pPr>
        <w:pStyle w:val="Normal"/>
        <w:spacing w:before="0" w:after="160"/>
        <w:rPr/>
      </w:pPr>
      <w:r>
        <w:rPr>
          <w:i/>
          <w:iCs/>
          <w:color w:val="777777"/>
          <w:sz w:val="18"/>
          <w:szCs w:val="18"/>
        </w:rPr>
        <w:t>PWC scrutinizes the original PO to confirm compliance with the Repeat Order guardrails prescribed under the Procedure for Purchase.</w:t>
      </w:r>
    </w:p>
    <w:p>
      <w:pPr>
        <w:pStyle w:val="Normal"/>
        <w:spacing w:before="0" w:after="160"/>
        <w:rPr/>
      </w:pPr>
      <w:r>
        <w:rPr>
          <w:sz w:val="22"/>
          <w:szCs w:val="22"/>
        </w:rPr>
        <w:t xml:space="preserve">☐  </w:t>
      </w:r>
      <w:r>
        <w:rPr>
          <w:sz w:val="20"/>
          <w:szCs w:val="20"/>
        </w:rPr>
        <w:t>Original order was awarded through Open Tender</w:t>
      </w:r>
    </w:p>
    <w:p>
      <w:pPr>
        <w:pStyle w:val="Normal"/>
        <w:spacing w:before="0" w:after="160"/>
        <w:rPr/>
      </w:pPr>
      <w:r>
        <w:rPr>
          <w:b/>
          <w:bCs/>
          <w:sz w:val="20"/>
          <w:szCs w:val="20"/>
        </w:rPr>
        <w:t xml:space="preserve">Date of Original PO: </w:t>
      </w:r>
      <w:r>
        <w:rPr>
          <w:sz w:val="20"/>
          <w:szCs w:val="20"/>
        </w:rPr>
        <w:t>_______________________________________________________</w:t>
      </w:r>
    </w:p>
    <w:p>
      <w:pPr>
        <w:pStyle w:val="Normal"/>
        <w:spacing w:before="0" w:after="160"/>
        <w:rPr/>
      </w:pPr>
      <w:r>
        <w:rPr>
          <w:sz w:val="22"/>
          <w:szCs w:val="22"/>
        </w:rPr>
        <w:t xml:space="preserve">☐  </w:t>
      </w:r>
      <w:r>
        <w:rPr>
          <w:sz w:val="20"/>
          <w:szCs w:val="20"/>
        </w:rPr>
        <w:t>Repeat Order initiated within the permitted statutory timeframe (within 12 months of the original PO)</w:t>
      </w:r>
    </w:p>
    <w:p>
      <w:pPr>
        <w:pStyle w:val="Normal"/>
        <w:spacing w:before="0" w:after="160"/>
        <w:rPr/>
      </w:pPr>
      <w:r>
        <w:rPr>
          <w:b/>
          <w:bCs/>
          <w:sz w:val="20"/>
          <w:szCs w:val="20"/>
        </w:rPr>
        <w:t xml:space="preserve">No. of Months Elapsed Since Original PO: </w:t>
      </w:r>
      <w:r>
        <w:rPr>
          <w:sz w:val="20"/>
          <w:szCs w:val="20"/>
        </w:rPr>
        <w:t>_______________________________________________________</w:t>
      </w:r>
    </w:p>
    <w:p>
      <w:pPr>
        <w:pStyle w:val="Normal"/>
        <w:spacing w:before="0" w:after="160"/>
        <w:rPr/>
      </w:pPr>
      <w:r>
        <w:rPr>
          <w:sz w:val="22"/>
          <w:szCs w:val="22"/>
        </w:rPr>
        <w:t xml:space="preserve">☐  </w:t>
      </w:r>
      <w:r>
        <w:rPr>
          <w:sz w:val="20"/>
          <w:szCs w:val="20"/>
        </w:rPr>
        <w:t>Quantity requested does not exceed 100% of the original order value, or ₹25,00,000, whichever is lower</w:t>
      </w:r>
    </w:p>
    <w:p>
      <w:pPr>
        <w:pStyle w:val="Normal"/>
        <w:spacing w:before="0" w:after="160"/>
        <w:rPr/>
      </w:pPr>
      <w:r>
        <w:rPr>
          <w:b/>
          <w:bCs/>
          <w:sz w:val="20"/>
          <w:szCs w:val="20"/>
        </w:rPr>
        <w:t xml:space="preserve">Original Order Value with 100% Cap (₹): </w:t>
      </w:r>
      <w:r>
        <w:rPr>
          <w:sz w:val="20"/>
          <w:szCs w:val="20"/>
        </w:rPr>
        <w:t>________________________________________________________</w:t>
      </w:r>
    </w:p>
    <w:p>
      <w:pPr>
        <w:pStyle w:val="Normal"/>
        <w:spacing w:before="0" w:after="160"/>
        <w:rPr/>
      </w:pPr>
      <w:r>
        <w:rPr>
          <w:b/>
          <w:bCs/>
          <w:sz w:val="20"/>
          <w:szCs w:val="20"/>
        </w:rPr>
        <w:t xml:space="preserve">Value of Present Repeat Order Request (₹): </w:t>
      </w:r>
      <w:r>
        <w:rPr>
          <w:sz w:val="20"/>
          <w:szCs w:val="20"/>
        </w:rPr>
        <w:t>_______________________________________________________</w:t>
      </w:r>
    </w:p>
    <w:p>
      <w:pPr>
        <w:pStyle w:val="Normal"/>
        <w:spacing w:before="0" w:after="160"/>
        <w:rPr/>
      </w:pPr>
      <w:r>
        <w:rPr>
          <w:sz w:val="22"/>
          <w:szCs w:val="22"/>
        </w:rPr>
        <w:t xml:space="preserve">☐  </w:t>
      </w:r>
      <w:r>
        <w:rPr>
          <w:sz w:val="20"/>
          <w:szCs w:val="20"/>
        </w:rPr>
        <w:t>Request confirmed to meet the strict legal criteria for bypassing a fresh tender</w:t>
      </w:r>
    </w:p>
    <w:tbl>
      <w:tblPr>
        <w:tblW w:w="5000" w:type="pct"/>
        <w:jc w:val="left"/>
        <w:tblInd w:w="100" w:type="dxa"/>
        <w:tblLayout w:type="fixed"/>
        <w:tblCellMar>
          <w:top w:w="60" w:type="dxa"/>
          <w:left w:w="100" w:type="dxa"/>
          <w:bottom w:w="60" w:type="dxa"/>
          <w:right w:w="100" w:type="dxa"/>
        </w:tblCellMar>
      </w:tblPr>
      <w:tblGrid>
        <w:gridCol w:w="2833"/>
        <w:gridCol w:w="2837"/>
        <w:gridCol w:w="2834"/>
        <w:gridCol w:w="1961"/>
      </w:tblGrid>
      <w:tr>
        <w:trPr>
          <w:tblHeader w:val="true"/>
        </w:trPr>
        <w:tc>
          <w:tcPr>
            <w:tcW w:w="283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fill="FED4BB" w:val="clear"/>
            <w:vAlign w:val="center"/>
          </w:tcPr>
          <w:p>
            <w:pPr>
              <w:pStyle w:val="Normal"/>
              <w:rPr/>
            </w:pPr>
            <w:r>
              <w:rPr>
                <w:b/>
                <w:bCs/>
                <w:i w:val="false"/>
                <w:iCs w:val="false"/>
                <w:sz w:val="19"/>
                <w:szCs w:val="19"/>
              </w:rPr>
              <w:t>Name</w:t>
            </w:r>
          </w:p>
        </w:tc>
        <w:tc>
          <w:tcPr>
            <w:tcW w:w="283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fill="FED4BB" w:val="clear"/>
            <w:vAlign w:val="center"/>
          </w:tcPr>
          <w:p>
            <w:pPr>
              <w:pStyle w:val="Normal"/>
              <w:rPr/>
            </w:pPr>
            <w:r>
              <w:rPr>
                <w:b/>
                <w:bCs/>
                <w:i w:val="false"/>
                <w:iCs w:val="false"/>
                <w:sz w:val="19"/>
                <w:szCs w:val="19"/>
              </w:rPr>
              <w:t>Role</w:t>
            </w:r>
          </w:p>
        </w:tc>
        <w:tc>
          <w:tcPr>
            <w:tcW w:w="283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fill="FED4BB" w:val="clear"/>
            <w:vAlign w:val="center"/>
          </w:tcPr>
          <w:p>
            <w:pPr>
              <w:pStyle w:val="Normal"/>
              <w:rPr/>
            </w:pPr>
            <w:r>
              <w:rPr>
                <w:b/>
                <w:bCs/>
                <w:i w:val="false"/>
                <w:iCs w:val="false"/>
                <w:sz w:val="19"/>
                <w:szCs w:val="19"/>
              </w:rPr>
              <w:t>Signature</w:t>
            </w:r>
          </w:p>
        </w:tc>
        <w:tc>
          <w:tcPr>
            <w:tcW w:w="196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fill="FED4BB" w:val="clear"/>
            <w:vAlign w:val="center"/>
          </w:tcPr>
          <w:p>
            <w:pPr>
              <w:pStyle w:val="Normal"/>
              <w:rPr/>
            </w:pPr>
            <w:r>
              <w:rPr>
                <w:b/>
                <w:bCs/>
                <w:i w:val="false"/>
                <w:iCs w:val="false"/>
                <w:sz w:val="19"/>
                <w:szCs w:val="19"/>
              </w:rPr>
              <w:t>Date</w:t>
            </w:r>
          </w:p>
        </w:tc>
      </w:tr>
      <w:tr>
        <w:trPr/>
        <w:tc>
          <w:tcPr>
            <w:tcW w:w="283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>
            <w:pPr>
              <w:pStyle w:val="Normal"/>
              <w:rPr>
                <w:i/>
                <w:i/>
                <w:iCs/>
                <w:color w:themeColor="light1" w:themeShade="80" w:val="808080"/>
              </w:rPr>
            </w:pPr>
            <w:r>
              <w:rPr>
                <w:i/>
                <w:iCs/>
                <w:color w:themeColor="light1" w:themeShade="80" w:val="808080"/>
              </w:rPr>
              <w:t>(Attach PWC MoM)</w:t>
            </w:r>
          </w:p>
        </w:tc>
        <w:tc>
          <w:tcPr>
            <w:tcW w:w="283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>
            <w:pPr>
              <w:pStyle w:val="Normal"/>
              <w:rPr/>
            </w:pPr>
            <w:r>
              <w:rPr>
                <w:b w:val="false"/>
                <w:bCs w:val="false"/>
                <w:i w:val="false"/>
                <w:iCs w:val="false"/>
                <w:sz w:val="19"/>
                <w:szCs w:val="19"/>
              </w:rPr>
              <w:t>PWC — Members</w:t>
            </w:r>
          </w:p>
        </w:tc>
        <w:tc>
          <w:tcPr>
            <w:tcW w:w="283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6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</w:tbl>
    <w:p>
      <w:pPr>
        <w:pStyle w:val="Normal"/>
        <w:shd w:fill="FB7E34" w:val="clear"/>
        <w:spacing w:before="300" w:after="120"/>
        <w:rPr/>
      </w:pPr>
      <w:r>
        <w:rPr>
          <w:b/>
          <w:bCs/>
          <w:color w:val="FFFFFF"/>
          <w:sz w:val="22"/>
          <w:szCs w:val="22"/>
        </w:rPr>
        <w:t xml:space="preserve">  </w:t>
      </w:r>
      <w:r>
        <w:rPr>
          <w:b/>
          <w:bCs/>
          <w:color w:val="FFFFFF"/>
          <w:sz w:val="22"/>
          <w:szCs w:val="22"/>
        </w:rPr>
        <w:t>5.  Compliance Pre-Audit</w:t>
      </w:r>
    </w:p>
    <w:p>
      <w:pPr>
        <w:pStyle w:val="Normal"/>
        <w:spacing w:before="0" w:after="100"/>
        <w:rPr/>
      </w:pPr>
      <w:r>
        <w:rPr>
          <w:i/>
          <w:iCs/>
          <w:color w:val="555555"/>
          <w:sz w:val="18"/>
          <w:szCs w:val="18"/>
        </w:rPr>
        <w:t>Step 4 — Compliance Pre-Audit (mandatory above ₹5,00,000)</w:t>
      </w:r>
    </w:p>
    <w:p>
      <w:pPr>
        <w:pStyle w:val="Normal"/>
        <w:spacing w:before="0" w:after="160"/>
        <w:rPr/>
      </w:pPr>
      <w:r>
        <w:rPr>
          <w:i/>
          <w:iCs/>
          <w:color w:val="777777"/>
          <w:sz w:val="18"/>
          <w:szCs w:val="18"/>
        </w:rPr>
        <w:t>Pre-Audit Cell reviews the entire file to check for strict compliance with all Repeat Order parameters, and to prevent regulatory non-compliance arising from improper use of repeat orders.</w:t>
      </w:r>
    </w:p>
    <w:p>
      <w:pPr>
        <w:pStyle w:val="Normal"/>
        <w:spacing w:before="0" w:after="160"/>
        <w:rPr/>
      </w:pPr>
      <w:r>
        <w:rPr>
          <w:sz w:val="22"/>
          <w:szCs w:val="22"/>
        </w:rPr>
        <w:t xml:space="preserve">☐  </w:t>
      </w:r>
      <w:r>
        <w:rPr>
          <w:sz w:val="20"/>
          <w:szCs w:val="20"/>
        </w:rPr>
        <w:t>No changes made to the technical specifications from the original order</w:t>
      </w:r>
    </w:p>
    <w:p>
      <w:pPr>
        <w:pStyle w:val="Normal"/>
        <w:spacing w:before="0" w:after="160"/>
        <w:rPr/>
      </w:pPr>
      <w:r>
        <w:rPr>
          <w:sz w:val="22"/>
          <w:szCs w:val="22"/>
        </w:rPr>
        <w:t xml:space="preserve">☐  </w:t>
      </w:r>
      <w:r>
        <w:rPr>
          <w:sz w:val="20"/>
          <w:szCs w:val="20"/>
        </w:rPr>
        <w:t>No changes made to the core contract terms &amp; conditions</w:t>
      </w:r>
    </w:p>
    <w:p>
      <w:pPr>
        <w:pStyle w:val="Normal"/>
        <w:spacing w:before="0" w:after="160"/>
        <w:rPr/>
      </w:pPr>
      <w:r>
        <w:rPr>
          <w:sz w:val="22"/>
          <w:szCs w:val="22"/>
        </w:rPr>
        <w:t xml:space="preserve">☐  </w:t>
      </w:r>
      <w:r>
        <w:rPr>
          <w:sz w:val="20"/>
          <w:szCs w:val="20"/>
        </w:rPr>
        <w:t>File found in strict compliance with all Repeat Order parameters</w:t>
      </w:r>
    </w:p>
    <w:p>
      <w:pPr>
        <w:pStyle w:val="Normal"/>
        <w:spacing w:before="0" w:after="100"/>
        <w:rPr/>
      </w:pPr>
      <w:r>
        <w:rPr>
          <w:b/>
          <w:bCs/>
          <w:sz w:val="20"/>
          <w:szCs w:val="20"/>
        </w:rPr>
        <w:t>Observations (if any):</w:t>
      </w:r>
    </w:p>
    <w:p>
      <w:pPr>
        <w:pStyle w:val="Normal"/>
        <w:pBdr>
          <w:bottom w:val="single" w:sz="4" w:space="0" w:color="999999"/>
        </w:pBdr>
        <w:spacing w:before="0" w:after="160"/>
        <w:rPr/>
      </w:pPr>
      <w:r>
        <w:rPr>
          <w:sz w:val="19"/>
          <w:szCs w:val="19"/>
        </w:rPr>
        <w:t xml:space="preserve"> </w:t>
      </w:r>
    </w:p>
    <w:tbl>
      <w:tblPr>
        <w:tblW w:w="5000" w:type="pct"/>
        <w:jc w:val="left"/>
        <w:tblInd w:w="100" w:type="dxa"/>
        <w:tblLayout w:type="fixed"/>
        <w:tblCellMar>
          <w:top w:w="60" w:type="dxa"/>
          <w:left w:w="100" w:type="dxa"/>
          <w:bottom w:w="60" w:type="dxa"/>
          <w:right w:w="100" w:type="dxa"/>
        </w:tblCellMar>
      </w:tblPr>
      <w:tblGrid>
        <w:gridCol w:w="2833"/>
        <w:gridCol w:w="2837"/>
        <w:gridCol w:w="2834"/>
        <w:gridCol w:w="1961"/>
      </w:tblGrid>
      <w:tr>
        <w:trPr>
          <w:tblHeader w:val="true"/>
        </w:trPr>
        <w:tc>
          <w:tcPr>
            <w:tcW w:w="283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fill="FED4BB" w:val="clear"/>
            <w:vAlign w:val="center"/>
          </w:tcPr>
          <w:p>
            <w:pPr>
              <w:pStyle w:val="Normal"/>
              <w:rPr/>
            </w:pPr>
            <w:r>
              <w:rPr>
                <w:b/>
                <w:bCs/>
                <w:i w:val="false"/>
                <w:iCs w:val="false"/>
                <w:sz w:val="19"/>
                <w:szCs w:val="19"/>
              </w:rPr>
              <w:t>Name</w:t>
            </w:r>
          </w:p>
        </w:tc>
        <w:tc>
          <w:tcPr>
            <w:tcW w:w="283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fill="FED4BB" w:val="clear"/>
            <w:vAlign w:val="center"/>
          </w:tcPr>
          <w:p>
            <w:pPr>
              <w:pStyle w:val="Normal"/>
              <w:rPr/>
            </w:pPr>
            <w:r>
              <w:rPr>
                <w:b/>
                <w:bCs/>
                <w:i w:val="false"/>
                <w:iCs w:val="false"/>
                <w:sz w:val="19"/>
                <w:szCs w:val="19"/>
              </w:rPr>
              <w:t>Role</w:t>
            </w:r>
          </w:p>
        </w:tc>
        <w:tc>
          <w:tcPr>
            <w:tcW w:w="283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fill="FED4BB" w:val="clear"/>
            <w:vAlign w:val="center"/>
          </w:tcPr>
          <w:p>
            <w:pPr>
              <w:pStyle w:val="Normal"/>
              <w:rPr/>
            </w:pPr>
            <w:r>
              <w:rPr>
                <w:b/>
                <w:bCs/>
                <w:i w:val="false"/>
                <w:iCs w:val="false"/>
                <w:sz w:val="19"/>
                <w:szCs w:val="19"/>
              </w:rPr>
              <w:t>Signature</w:t>
            </w:r>
          </w:p>
        </w:tc>
        <w:tc>
          <w:tcPr>
            <w:tcW w:w="196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fill="FED4BB" w:val="clear"/>
            <w:vAlign w:val="center"/>
          </w:tcPr>
          <w:p>
            <w:pPr>
              <w:pStyle w:val="Normal"/>
              <w:rPr/>
            </w:pPr>
            <w:r>
              <w:rPr>
                <w:b/>
                <w:bCs/>
                <w:i w:val="false"/>
                <w:iCs w:val="false"/>
                <w:sz w:val="19"/>
                <w:szCs w:val="19"/>
              </w:rPr>
              <w:t>Date</w:t>
            </w:r>
          </w:p>
        </w:tc>
      </w:tr>
      <w:tr>
        <w:trPr/>
        <w:tc>
          <w:tcPr>
            <w:tcW w:w="283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>
            <w:pPr>
              <w:pStyle w:val="Normal"/>
              <w:rPr>
                <w:i/>
                <w:i/>
                <w:iCs/>
                <w:color w:themeColor="light1" w:themeShade="80" w:val="808080"/>
              </w:rPr>
            </w:pPr>
            <w:r>
              <w:rPr>
                <w:i/>
                <w:iCs/>
                <w:color w:themeColor="light1" w:themeShade="80" w:val="808080"/>
              </w:rPr>
              <w:t>(Attach PAC MoM)</w:t>
            </w:r>
          </w:p>
        </w:tc>
        <w:tc>
          <w:tcPr>
            <w:tcW w:w="283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>
            <w:pPr>
              <w:pStyle w:val="Normal"/>
              <w:rPr/>
            </w:pPr>
            <w:r>
              <w:rPr>
                <w:b w:val="false"/>
                <w:bCs w:val="false"/>
                <w:i w:val="false"/>
                <w:iCs w:val="false"/>
                <w:sz w:val="19"/>
                <w:szCs w:val="19"/>
              </w:rPr>
              <w:t>Pre-Audit Cell — Officer</w:t>
            </w:r>
          </w:p>
        </w:tc>
        <w:tc>
          <w:tcPr>
            <w:tcW w:w="283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6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</w:tbl>
    <w:p>
      <w:pPr>
        <w:pStyle w:val="Normal"/>
        <w:shd w:fill="FB7E34" w:val="clear"/>
        <w:spacing w:before="300" w:after="120"/>
        <w:rPr/>
      </w:pPr>
      <w:r>
        <w:rPr>
          <w:b/>
          <w:bCs/>
          <w:color w:val="FFFFFF"/>
          <w:sz w:val="22"/>
          <w:szCs w:val="22"/>
        </w:rPr>
        <w:t xml:space="preserve">  </w:t>
      </w:r>
      <w:r>
        <w:rPr>
          <w:b/>
          <w:bCs/>
          <w:color w:val="FFFFFF"/>
          <w:sz w:val="22"/>
          <w:szCs w:val="22"/>
        </w:rPr>
        <w:t>6.  Budget &amp; Planning Committee (BPC) — Budget Allocation</w:t>
      </w:r>
    </w:p>
    <w:p>
      <w:pPr>
        <w:pStyle w:val="Normal"/>
        <w:spacing w:before="0" w:after="100"/>
        <w:rPr/>
      </w:pPr>
      <w:r>
        <w:rPr>
          <w:i/>
          <w:iCs/>
          <w:color w:val="555555"/>
          <w:sz w:val="18"/>
          <w:szCs w:val="18"/>
        </w:rPr>
        <w:t>Step 5 — Budget Allocation</w:t>
      </w:r>
    </w:p>
    <w:p>
      <w:pPr>
        <w:pStyle w:val="Normal"/>
        <w:spacing w:before="0" w:after="160"/>
        <w:rPr/>
      </w:pPr>
      <w:r>
        <w:rPr>
          <w:sz w:val="22"/>
          <w:szCs w:val="22"/>
        </w:rPr>
        <w:t xml:space="preserve">☐  </w:t>
      </w:r>
      <w:r>
        <w:rPr>
          <w:sz w:val="20"/>
          <w:szCs w:val="20"/>
        </w:rPr>
        <w:t xml:space="preserve">Capital       </w:t>
      </w:r>
      <w:r>
        <w:rPr>
          <w:sz w:val="22"/>
          <w:szCs w:val="22"/>
        </w:rPr>
        <w:t xml:space="preserve">☐  </w:t>
      </w:r>
      <w:r>
        <w:rPr>
          <w:sz w:val="20"/>
          <w:szCs w:val="20"/>
        </w:rPr>
        <w:t>Revenue</w:t>
      </w:r>
    </w:p>
    <w:p>
      <w:pPr>
        <w:pStyle w:val="Normal"/>
        <w:spacing w:before="0" w:after="160"/>
        <w:rPr/>
      </w:pPr>
      <w:r>
        <w:rPr>
          <w:b/>
          <w:bCs/>
          <w:sz w:val="20"/>
          <w:szCs w:val="20"/>
        </w:rPr>
        <w:t xml:space="preserve">Name of the Project &amp; Object Head: </w:t>
      </w:r>
      <w:r>
        <w:rPr>
          <w:sz w:val="20"/>
          <w:szCs w:val="20"/>
        </w:rPr>
        <w:t>_______________________________________________________</w:t>
      </w:r>
    </w:p>
    <w:p>
      <w:pPr>
        <w:pStyle w:val="Normal"/>
        <w:spacing w:before="0" w:after="160"/>
        <w:rPr/>
      </w:pPr>
      <w:r>
        <w:rPr>
          <w:sz w:val="22"/>
          <w:szCs w:val="22"/>
        </w:rPr>
        <w:t xml:space="preserve">☐  </w:t>
      </w:r>
      <w:r>
        <w:rPr>
          <w:sz w:val="20"/>
          <w:szCs w:val="20"/>
        </w:rPr>
        <w:t xml:space="preserve">Fund availability verified for the additional quantity        </w:t>
      </w:r>
      <w:r>
        <w:rPr>
          <w:sz w:val="22"/>
          <w:szCs w:val="22"/>
        </w:rPr>
        <w:t xml:space="preserve">☐  </w:t>
      </w:r>
      <w:r>
        <w:rPr>
          <w:sz w:val="20"/>
          <w:szCs w:val="20"/>
        </w:rPr>
        <w:t>Funds secured for the unexpected expansion of order volume</w:t>
      </w:r>
    </w:p>
    <w:tbl>
      <w:tblPr>
        <w:tblW w:w="5000" w:type="pct"/>
        <w:jc w:val="left"/>
        <w:tblInd w:w="100" w:type="dxa"/>
        <w:tblLayout w:type="fixed"/>
        <w:tblCellMar>
          <w:top w:w="60" w:type="dxa"/>
          <w:left w:w="100" w:type="dxa"/>
          <w:bottom w:w="60" w:type="dxa"/>
          <w:right w:w="100" w:type="dxa"/>
        </w:tblCellMar>
      </w:tblPr>
      <w:tblGrid>
        <w:gridCol w:w="2833"/>
        <w:gridCol w:w="2837"/>
        <w:gridCol w:w="2834"/>
        <w:gridCol w:w="1961"/>
      </w:tblGrid>
      <w:tr>
        <w:trPr>
          <w:tblHeader w:val="true"/>
        </w:trPr>
        <w:tc>
          <w:tcPr>
            <w:tcW w:w="283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fill="FED4BB" w:val="clear"/>
            <w:vAlign w:val="center"/>
          </w:tcPr>
          <w:p>
            <w:pPr>
              <w:pStyle w:val="Normal"/>
              <w:rPr/>
            </w:pPr>
            <w:r>
              <w:rPr>
                <w:b/>
                <w:bCs/>
                <w:i w:val="false"/>
                <w:iCs w:val="false"/>
                <w:sz w:val="19"/>
                <w:szCs w:val="19"/>
              </w:rPr>
              <w:t>Name</w:t>
            </w:r>
          </w:p>
        </w:tc>
        <w:tc>
          <w:tcPr>
            <w:tcW w:w="283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fill="FED4BB" w:val="clear"/>
            <w:vAlign w:val="center"/>
          </w:tcPr>
          <w:p>
            <w:pPr>
              <w:pStyle w:val="Normal"/>
              <w:rPr/>
            </w:pPr>
            <w:r>
              <w:rPr>
                <w:b/>
                <w:bCs/>
                <w:i w:val="false"/>
                <w:iCs w:val="false"/>
                <w:sz w:val="19"/>
                <w:szCs w:val="19"/>
              </w:rPr>
              <w:t>Role</w:t>
            </w:r>
          </w:p>
        </w:tc>
        <w:tc>
          <w:tcPr>
            <w:tcW w:w="283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fill="FED4BB" w:val="clear"/>
            <w:vAlign w:val="center"/>
          </w:tcPr>
          <w:p>
            <w:pPr>
              <w:pStyle w:val="Normal"/>
              <w:rPr/>
            </w:pPr>
            <w:r>
              <w:rPr>
                <w:b/>
                <w:bCs/>
                <w:i w:val="false"/>
                <w:iCs w:val="false"/>
                <w:sz w:val="19"/>
                <w:szCs w:val="19"/>
              </w:rPr>
              <w:t>Signature</w:t>
            </w:r>
          </w:p>
        </w:tc>
        <w:tc>
          <w:tcPr>
            <w:tcW w:w="196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fill="FED4BB" w:val="clear"/>
            <w:vAlign w:val="center"/>
          </w:tcPr>
          <w:p>
            <w:pPr>
              <w:pStyle w:val="Normal"/>
              <w:rPr/>
            </w:pPr>
            <w:r>
              <w:rPr>
                <w:b/>
                <w:bCs/>
                <w:i w:val="false"/>
                <w:iCs w:val="false"/>
                <w:sz w:val="19"/>
                <w:szCs w:val="19"/>
              </w:rPr>
              <w:t>Date</w:t>
            </w:r>
          </w:p>
        </w:tc>
      </w:tr>
      <w:tr>
        <w:trPr/>
        <w:tc>
          <w:tcPr>
            <w:tcW w:w="283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>
            <w:pPr>
              <w:pStyle w:val="Normal"/>
              <w:rPr>
                <w:i/>
                <w:i/>
                <w:iCs/>
                <w:color w:themeColor="light1" w:themeShade="80" w:val="808080"/>
              </w:rPr>
            </w:pPr>
            <w:r>
              <w:rPr>
                <w:i/>
                <w:iCs/>
                <w:color w:themeColor="light1" w:themeShade="80" w:val="808080"/>
              </w:rPr>
              <w:t>(Attach BPC MoM)</w:t>
            </w:r>
          </w:p>
        </w:tc>
        <w:tc>
          <w:tcPr>
            <w:tcW w:w="283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>
            <w:pPr>
              <w:pStyle w:val="Normal"/>
              <w:rPr/>
            </w:pPr>
            <w:r>
              <w:rPr>
                <w:b w:val="false"/>
                <w:bCs w:val="false"/>
                <w:i w:val="false"/>
                <w:iCs w:val="false"/>
                <w:sz w:val="19"/>
                <w:szCs w:val="19"/>
              </w:rPr>
              <w:t>BPC — Members</w:t>
            </w:r>
          </w:p>
        </w:tc>
        <w:tc>
          <w:tcPr>
            <w:tcW w:w="283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6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</w:tbl>
    <w:p>
      <w:pPr>
        <w:pStyle w:val="Normal"/>
        <w:shd w:fill="FB7E34" w:val="clear"/>
        <w:spacing w:before="300" w:after="120"/>
        <w:rPr/>
      </w:pPr>
      <w:r>
        <w:rPr>
          <w:b/>
          <w:bCs/>
          <w:color w:val="FFFFFF"/>
          <w:sz w:val="22"/>
          <w:szCs w:val="22"/>
        </w:rPr>
        <w:t xml:space="preserve">  </w:t>
      </w:r>
      <w:r>
        <w:rPr>
          <w:b/>
          <w:bCs/>
          <w:color w:val="FFFFFF"/>
          <w:sz w:val="22"/>
          <w:szCs w:val="22"/>
        </w:rPr>
        <w:t>7.  Approval of Competent Financial Authority (CFA) — Sanction &amp; Issuance</w:t>
      </w:r>
    </w:p>
    <w:p>
      <w:pPr>
        <w:pStyle w:val="Normal"/>
        <w:spacing w:before="0" w:after="100"/>
        <w:rPr/>
      </w:pPr>
      <w:r>
        <w:rPr>
          <w:i/>
          <w:iCs/>
          <w:color w:val="555555"/>
          <w:sz w:val="18"/>
          <w:szCs w:val="18"/>
        </w:rPr>
        <w:t>Step 6 — Sanction &amp; Issuance</w:t>
      </w:r>
    </w:p>
    <w:p>
      <w:pPr>
        <w:pStyle w:val="Normal"/>
        <w:spacing w:before="0" w:after="160"/>
        <w:rPr/>
      </w:pPr>
      <w:r>
        <w:rPr>
          <w:b/>
          <w:bCs/>
          <w:sz w:val="20"/>
          <w:szCs w:val="20"/>
        </w:rPr>
        <w:t xml:space="preserve">Vendor (same as Original PO): </w:t>
      </w:r>
      <w:r>
        <w:rPr>
          <w:sz w:val="20"/>
          <w:szCs w:val="20"/>
        </w:rPr>
        <w:t>________________________________________________________________</w:t>
      </w:r>
    </w:p>
    <w:p>
      <w:pPr>
        <w:pStyle w:val="Normal"/>
        <w:spacing w:before="0" w:after="160"/>
        <w:rPr/>
      </w:pPr>
      <w:r>
        <w:rPr>
          <w:b/>
          <w:bCs/>
          <w:sz w:val="20"/>
          <w:szCs w:val="20"/>
        </w:rPr>
        <w:t xml:space="preserve">Sanctioned Amount for Repeat Order (₹): </w:t>
      </w:r>
      <w:r>
        <w:rPr>
          <w:sz w:val="20"/>
          <w:szCs w:val="20"/>
        </w:rPr>
        <w:t>_______________________________________________________</w:t>
      </w:r>
    </w:p>
    <w:p>
      <w:pPr>
        <w:pStyle w:val="Normal"/>
        <w:spacing w:before="0" w:after="160"/>
        <w:rPr/>
      </w:pPr>
      <w:r>
        <w:rPr>
          <w:b/>
          <w:bCs/>
          <w:sz w:val="20"/>
          <w:szCs w:val="20"/>
        </w:rPr>
        <w:t>Registrar’s Recommendation &amp; Signature:</w:t>
      </w:r>
      <w:r>
        <w:rPr>
          <w:sz w:val="20"/>
          <w:szCs w:val="20"/>
        </w:rPr>
        <w:t xml:space="preserve"> _______________________________________________________</w:t>
      </w:r>
    </w:p>
    <w:tbl>
      <w:tblPr>
        <w:tblW w:w="5000" w:type="pct"/>
        <w:jc w:val="left"/>
        <w:tblInd w:w="100" w:type="dxa"/>
        <w:tblLayout w:type="fixed"/>
        <w:tblCellMar>
          <w:top w:w="60" w:type="dxa"/>
          <w:left w:w="100" w:type="dxa"/>
          <w:bottom w:w="60" w:type="dxa"/>
          <w:right w:w="100" w:type="dxa"/>
        </w:tblCellMar>
      </w:tblPr>
      <w:tblGrid>
        <w:gridCol w:w="5234"/>
        <w:gridCol w:w="5231"/>
      </w:tblGrid>
      <w:tr>
        <w:trPr/>
        <w:tc>
          <w:tcPr>
            <w:tcW w:w="10465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fill="FED4BB" w:val="clear"/>
          </w:tcPr>
          <w:p>
            <w:pPr>
              <w:pStyle w:val="Normal"/>
              <w:rPr/>
            </w:pPr>
            <w:r>
              <w:rPr>
                <w:b/>
                <w:bCs/>
                <w:sz w:val="19"/>
                <w:szCs w:val="19"/>
              </w:rPr>
              <w:t>Decision of Competent Financial Authority (CFA) — Financial Sanction — Repeat Order</w:t>
            </w:r>
          </w:p>
        </w:tc>
      </w:tr>
      <w:tr>
        <w:trPr/>
        <w:tc>
          <w:tcPr>
            <w:tcW w:w="10465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>
            <w:pPr>
              <w:pStyle w:val="Normal"/>
              <w:rPr/>
            </w:pPr>
            <w:r>
              <w:rPr>
                <w:i/>
                <w:iCs/>
                <w:color w:val="777777"/>
                <w:sz w:val="18"/>
                <w:szCs w:val="18"/>
              </w:rPr>
              <w:t>On approval, the file returns to the Purchase Section, which issues a supplementary or fresh Repeat Purchase Order to the original vendor, on the same rates, terms and conditions.</w:t>
            </w:r>
          </w:p>
        </w:tc>
      </w:tr>
      <w:tr>
        <w:trPr/>
        <w:tc>
          <w:tcPr>
            <w:tcW w:w="10465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100" w:type="dxa"/>
              <w:bottom w:w="100" w:type="dxa"/>
            </w:tcMar>
          </w:tcPr>
          <w:p>
            <w:pPr>
              <w:pStyle w:val="Normal"/>
              <w:spacing w:before="0" w:after="160"/>
              <w:rPr/>
            </w:pPr>
            <w:r>
              <w:rPr>
                <w:sz w:val="22"/>
                <w:szCs w:val="22"/>
              </w:rPr>
              <w:t xml:space="preserve">☐  </w:t>
            </w:r>
            <w:r>
              <w:rPr>
                <w:sz w:val="20"/>
                <w:szCs w:val="20"/>
              </w:rPr>
              <w:t xml:space="preserve">Approved        </w:t>
            </w:r>
            <w:r>
              <w:rPr>
                <w:sz w:val="22"/>
                <w:szCs w:val="22"/>
              </w:rPr>
              <w:t xml:space="preserve">☐  </w:t>
            </w:r>
            <w:r>
              <w:rPr>
                <w:sz w:val="20"/>
                <w:szCs w:val="20"/>
              </w:rPr>
              <w:t xml:space="preserve">Approved with Modifications        </w:t>
            </w:r>
            <w:r>
              <w:rPr>
                <w:sz w:val="22"/>
                <w:szCs w:val="22"/>
              </w:rPr>
              <w:t xml:space="preserve">☐  </w:t>
            </w:r>
            <w:r>
              <w:rPr>
                <w:sz w:val="20"/>
                <w:szCs w:val="20"/>
              </w:rPr>
              <w:t>Not Approved / Returned</w:t>
            </w:r>
          </w:p>
          <w:p>
            <w:pPr>
              <w:pStyle w:val="Normal"/>
              <w:spacing w:before="0" w:after="100"/>
              <w:rPr/>
            </w:pPr>
            <w:r>
              <w:rPr>
                <w:b/>
                <w:bCs/>
                <w:sz w:val="19"/>
                <w:szCs w:val="19"/>
              </w:rPr>
              <w:t>Remarks / Modifications (if any):</w:t>
            </w:r>
          </w:p>
          <w:p>
            <w:pPr>
              <w:pStyle w:val="Normal"/>
              <w:pBdr>
                <w:bottom w:val="single" w:sz="4" w:space="0" w:color="999999"/>
              </w:pBdr>
              <w:spacing w:before="0" w:after="16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</w:r>
          </w:p>
        </w:tc>
      </w:tr>
      <w:tr>
        <w:trPr/>
        <w:tc>
          <w:tcPr>
            <w:tcW w:w="523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>
            <w:pPr>
              <w:pStyle w:val="Normal"/>
              <w:rPr/>
            </w:pPr>
            <w:r>
              <w:rPr>
                <w:b w:val="false"/>
                <w:bCs w:val="false"/>
                <w:i w:val="false"/>
                <w:iCs w:val="false"/>
                <w:sz w:val="19"/>
                <w:szCs w:val="19"/>
              </w:rPr>
              <w:t>Designation of CFA (DIRECTOR):</w:t>
            </w:r>
          </w:p>
        </w:tc>
        <w:tc>
          <w:tcPr>
            <w:tcW w:w="523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>
            <w:pPr>
              <w:pStyle w:val="Normal"/>
              <w:rPr/>
            </w:pPr>
            <w:r>
              <w:rPr>
                <w:b w:val="false"/>
                <w:bCs w:val="false"/>
                <w:i w:val="false"/>
                <w:iCs w:val="false"/>
                <w:sz w:val="19"/>
                <w:szCs w:val="19"/>
              </w:rPr>
              <w:t>Signature &amp; Date:</w:t>
            </w:r>
          </w:p>
        </w:tc>
      </w:tr>
      <w:tr>
        <w:trPr/>
        <w:tc>
          <w:tcPr>
            <w:tcW w:w="523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523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</w:tbl>
    <w:p>
      <w:pPr>
        <w:pStyle w:val="Normal"/>
        <w:spacing w:before="260" w:after="0"/>
        <w:jc w:val="center"/>
        <w:rPr/>
      </w:pPr>
      <w:r>
        <w:rPr>
          <w:i/>
          <w:iCs/>
          <w:color w:val="777777"/>
          <w:sz w:val="18"/>
          <w:szCs w:val="18"/>
        </w:rPr>
        <w:t xml:space="preserve">— </w:t>
      </w:r>
      <w:r>
        <w:rPr>
          <w:i/>
          <w:iCs/>
          <w:color w:val="777777"/>
          <w:sz w:val="18"/>
          <w:szCs w:val="18"/>
        </w:rPr>
        <w:t>End of Form —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720" w:right="720" w:gutter="0" w:header="708" w:top="900" w:footer="708" w:bottom="900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jc w:val="center"/>
      <w:rPr/>
    </w:pPr>
    <w:r>
      <w:rPr>
        <w:color w:val="999999"/>
        <w:sz w:val="15"/>
        <w:szCs w:val="15"/>
      </w:rPr>
      <w:t xml:space="preserve">Page </w:t>
    </w: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3</w:t>
    </w:r>
    <w:r>
      <w:rPr/>
      <w:fldChar w:fldCharType="end"/>
    </w:r>
    <w:r>
      <w:rPr>
        <w:color w:val="999999"/>
        <w:sz w:val="15"/>
        <w:szCs w:val="15"/>
      </w:rPr>
      <w:t xml:space="preserve"> of </w:t>
    </w:r>
    <w:r>
      <w:rPr/>
      <w:fldChar w:fldCharType="begin"/>
    </w:r>
    <w:r>
      <w:rPr/>
      <w:instrText xml:space="preserve"> NUMPAGES </w:instrText>
    </w:r>
    <w:r>
      <w:rPr/>
      <w:fldChar w:fldCharType="separate"/>
    </w:r>
    <w:r>
      <w:rPr/>
      <w:t>3</w:t>
    </w:r>
    <w:r>
      <w:rPr/>
      <w:fldChar w:fldCharType="end"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jc w:val="center"/>
      <w:rPr/>
    </w:pPr>
    <w:r>
      <w:rPr>
        <w:color w:val="999999"/>
        <w:sz w:val="15"/>
        <w:szCs w:val="15"/>
      </w:rPr>
      <w:t xml:space="preserve">Page </w:t>
    </w: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3</w:t>
    </w:r>
    <w:r>
      <w:rPr/>
      <w:fldChar w:fldCharType="end"/>
    </w:r>
    <w:r>
      <w:rPr>
        <w:color w:val="999999"/>
        <w:sz w:val="15"/>
        <w:szCs w:val="15"/>
      </w:rPr>
      <w:t xml:space="preserve"> of </w:t>
    </w:r>
    <w:r>
      <w:rPr/>
      <w:fldChar w:fldCharType="begin"/>
    </w:r>
    <w:r>
      <w:rPr/>
      <w:instrText xml:space="preserve"> NUMPAGES </w:instrText>
    </w:r>
    <w:r>
      <w:rPr/>
      <w:fldChar w:fldCharType="separate"/>
    </w:r>
    <w:r>
      <w:rPr/>
      <w:t>3</w:t>
    </w:r>
    <w:r>
      <w:rPr/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jc w:val="right"/>
      <w:rPr/>
    </w:pPr>
    <w:r>
      <w:rPr>
        <w:color w:val="999999"/>
        <w:sz w:val="15"/>
        <w:szCs w:val="15"/>
      </w:rPr>
      <w:t>SINP — Purchase Requisition Form (Repeat Order)</w: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jc w:val="right"/>
      <w:rPr/>
    </w:pPr>
    <w:r>
      <w:rPr>
        <w:color w:val="999999"/>
        <w:sz w:val="15"/>
        <w:szCs w:val="15"/>
      </w:rPr>
      <w:t>SINP — Purchase Requisition Form (Repeat Order)</w:t>
    </w:r>
  </w:p>
</w:hdr>
</file>

<file path=word/settings.xml><?xml version="1.0" encoding="utf-8"?>
<w:settings xmlns:w="http://schemas.openxmlformats.org/wordprocessingml/2006/main">
  <w:zoom w:percent="18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oto Serif CJK SC" w:cs="Noto Sans Devanagari"/>
        <w:lang w:val="en-IN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oto Serif CJK SC" w:cs="Noto Sans Devanagari"/>
      <w:color w:val="auto"/>
      <w:kern w:val="0"/>
      <w:sz w:val="20"/>
      <w:szCs w:val="20"/>
      <w:lang w:val="en-IN" w:eastAsia="zh-CN" w:bidi="hi-IN"/>
    </w:rPr>
  </w:style>
  <w:style w:type="paragraph" w:styleId="Heading1">
    <w:name w:val="Heading 1"/>
    <w:basedOn w:val="Heading"/>
    <w:qFormat/>
    <w:pPr/>
    <w:rPr>
      <w:color w:val="2E74B5"/>
      <w:sz w:val="32"/>
      <w:szCs w:val="32"/>
    </w:rPr>
  </w:style>
  <w:style w:type="paragraph" w:styleId="Heading2">
    <w:name w:val="Heading 2"/>
    <w:basedOn w:val="Heading"/>
    <w:qFormat/>
    <w:pPr/>
    <w:rPr>
      <w:color w:val="2E74B5"/>
      <w:sz w:val="26"/>
      <w:szCs w:val="26"/>
    </w:rPr>
  </w:style>
  <w:style w:type="paragraph" w:styleId="Heading3">
    <w:name w:val="Heading 3"/>
    <w:basedOn w:val="Heading"/>
    <w:qFormat/>
    <w:pPr/>
    <w:rPr>
      <w:color w:val="1F4D78"/>
      <w:sz w:val="24"/>
      <w:szCs w:val="24"/>
    </w:rPr>
  </w:style>
  <w:style w:type="paragraph" w:styleId="Heading4">
    <w:name w:val="Heading 4"/>
    <w:basedOn w:val="Heading"/>
    <w:qFormat/>
    <w:pPr/>
    <w:rPr>
      <w:i/>
      <w:iCs/>
      <w:color w:val="2E74B5"/>
    </w:rPr>
  </w:style>
  <w:style w:type="paragraph" w:styleId="Heading5">
    <w:name w:val="Heading 5"/>
    <w:basedOn w:val="Heading"/>
    <w:qFormat/>
    <w:pPr/>
    <w:rPr>
      <w:color w:val="2E74B5"/>
    </w:rPr>
  </w:style>
  <w:style w:type="paragraph" w:styleId="Heading6">
    <w:name w:val="Heading 6"/>
    <w:basedOn w:val="Heading"/>
    <w:qFormat/>
    <w:pPr/>
    <w:rPr>
      <w:color w:val="1F4D78"/>
    </w:rPr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Characters">
    <w:name w:val="Footnote Characters"/>
    <w:uiPriority w:val="99"/>
    <w:semiHidden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TextChar">
    <w:name w:val="Footnote Text Char"/>
    <w:link w:val="FootnoteText"/>
    <w:uiPriority w:val="99"/>
    <w:semiHidden/>
    <w:unhideWhenUsed/>
    <w:qFormat/>
    <w:rPr>
      <w:sz w:val="20"/>
      <w:szCs w:val="20"/>
    </w:rPr>
  </w:style>
  <w:style w:type="character" w:styleId="EndnoteCharacters">
    <w:name w:val="Endnote Characters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EndnoteTextChar">
    <w:name w:val="Endnote Text Char"/>
    <w:link w:val="EndnoteText"/>
    <w:uiPriority w:val="99"/>
    <w:semiHidden/>
    <w:unhideWhenUsed/>
    <w:qFormat/>
    <w:rPr>
      <w:sz w:val="20"/>
      <w:szCs w:val="20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Noto Sans Devanagari"/>
    </w:rPr>
  </w:style>
  <w:style w:type="paragraph" w:styleId="Title">
    <w:name w:val="Title"/>
    <w:basedOn w:val="Heading"/>
    <w:qFormat/>
    <w:pPr/>
    <w:rPr>
      <w:sz w:val="56"/>
      <w:szCs w:val="56"/>
    </w:rPr>
  </w:style>
  <w:style w:type="paragraph" w:styleId="StrongEmphasis">
    <w:name w:val="Strong Emphasis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oto Serif CJK SC" w:cs="Noto Sans Devanagari"/>
      <w:b/>
      <w:bCs/>
      <w:color w:val="auto"/>
      <w:kern w:val="0"/>
      <w:sz w:val="20"/>
      <w:szCs w:val="20"/>
      <w:lang w:val="en-IN" w:eastAsia="zh-CN" w:bidi="hi-IN"/>
    </w:rPr>
  </w:style>
  <w:style w:type="paragraph" w:styleId="ListParagraph">
    <w:name w:val="List Paragraph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oto Serif CJK SC" w:cs="Noto Sans Devanagari"/>
      <w:color w:val="auto"/>
      <w:kern w:val="0"/>
      <w:sz w:val="20"/>
      <w:szCs w:val="20"/>
      <w:lang w:val="en-IN" w:eastAsia="zh-CN" w:bidi="hi-IN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lineRule="auto" w:line="240" w:before="0" w:after="0"/>
    </w:pPr>
    <w:rPr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lineRule="auto" w:line="240" w:before="0" w:after="0"/>
    </w:pPr>
    <w:rPr>
      <w:sz w:val="20"/>
      <w:szCs w:val="20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HeaderandFooter"/>
    <w:pPr/>
    <w:rPr/>
  </w:style>
  <w:style w:type="paragraph" w:styleId="Footer">
    <w:name w:val="Footer"/>
    <w:basedOn w:val="HeaderandFooter"/>
    <w:pPr/>
    <w:rPr/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18</TotalTime>
  <Application>LibreOffice/24.2.7.2$Linux_X86_64 LibreOffice_project/420$Build-2</Application>
  <AppVersion>15.0000</AppVersion>
  <Pages>3</Pages>
  <Words>634</Words>
  <Characters>4566</Characters>
  <CharactersWithSpaces>5195</CharactersWithSpaces>
  <Paragraphs>106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2026-07-19T15:50:56Z</dcterms:created>
  <dc:creator>Un-named</dc:creator>
  <dc:description/>
  <dc:language>en-IN</dc:language>
  <cp:lastModifiedBy/>
  <dcterms:modified xsi:type="dcterms:W3CDTF">2026-08-04T11:22:04Z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