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40"/>
        <w:jc w:val="center"/>
        <w:rPr/>
      </w:pPr>
      <w:r>
        <w:rPr>
          <w:b/>
          <w:bCs/>
          <w:color w:val="1F3864"/>
          <w:sz w:val="30"/>
          <w:szCs w:val="30"/>
        </w:rPr>
        <w:t>SAHA INSTITUTE OF NUCLEAR PHYSICS</w:t>
      </w:r>
    </w:p>
    <w:p>
      <w:pPr>
        <w:pStyle w:val="Normal"/>
        <w:spacing w:before="0" w:after="40"/>
        <w:jc w:val="center"/>
        <w:rPr/>
      </w:pPr>
      <w:r>
        <w:rPr>
          <w:color w:val="555555"/>
          <w:sz w:val="19"/>
          <w:szCs w:val="19"/>
        </w:rPr>
        <w:t>1/AF, Bidhannagar, Kolkata – 700064</w:t>
      </w:r>
    </w:p>
    <w:p>
      <w:pPr>
        <w:pStyle w:val="Normal"/>
        <w:spacing w:before="0" w:after="200"/>
        <w:jc w:val="center"/>
        <w:rPr>
          <w:i/>
          <w:i/>
          <w:iCs/>
          <w:color w:val="555555"/>
          <w:sz w:val="18"/>
          <w:szCs w:val="18"/>
        </w:rPr>
      </w:pPr>
      <w:r>
        <w:rPr>
          <w:i/>
          <w:iCs/>
          <w:color w:val="555555"/>
          <w:sz w:val="18"/>
          <w:szCs w:val="18"/>
        </w:rPr>
      </w:r>
    </w:p>
    <w:p>
      <w:pPr>
        <w:pStyle w:val="Normal"/>
        <w:pBdr>
          <w:bottom w:val="double" w:sz="8" w:space="0" w:color="1F3864"/>
        </w:pBdr>
        <w:spacing w:before="0" w:after="60"/>
        <w:jc w:val="center"/>
        <w:rPr/>
      </w:pPr>
      <w:r>
        <w:rPr>
          <w:b/>
          <w:bCs/>
          <w:sz w:val="26"/>
          <w:szCs w:val="26"/>
        </w:rPr>
        <w:t>PURCHASE REQUISITION FORM</w:t>
      </w:r>
    </w:p>
    <w:p>
      <w:pPr>
        <w:pStyle w:val="Normal"/>
        <w:spacing w:before="100" w:after="100"/>
        <w:jc w:val="center"/>
        <w:rPr/>
      </w:pPr>
      <w:r>
        <w:rPr>
          <w:b/>
          <w:bCs/>
          <w:color w:val="1F3864"/>
          <w:sz w:val="21"/>
          <w:szCs w:val="21"/>
        </w:rPr>
        <w:t>Purchase through Rate Contract (RC) — Form 7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For procurement of standard, recurring consumables (such as lab chemicals or office stationery) using pre-negotiated central or institutional rate contracts.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File No.: </w:t>
      </w:r>
      <w:r>
        <w:rPr>
          <w:sz w:val="20"/>
          <w:szCs w:val="20"/>
        </w:rPr>
        <w:t>___</w:t>
      </w:r>
      <w:r>
        <w:rPr>
          <w:color w:val="808080"/>
          <w:sz w:val="20"/>
          <w:szCs w:val="20"/>
        </w:rPr>
        <w:t>DIV/INDENTOR’S ID/DATE/FILE NO</w:t>
      </w:r>
      <w:r>
        <w:rPr>
          <w:sz w:val="20"/>
          <w:szCs w:val="20"/>
        </w:rPr>
        <w:t>____</w:t>
      </w:r>
      <w:r>
        <w:rPr>
          <w:b/>
          <w:bCs/>
          <w:sz w:val="20"/>
          <w:szCs w:val="20"/>
        </w:rPr>
        <w:t xml:space="preserve">        Date: </w:t>
      </w:r>
      <w:r>
        <w:rPr>
          <w:sz w:val="20"/>
          <w:szCs w:val="20"/>
        </w:rPr>
        <w:t>____________________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Institutional Rate Contract 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Central Platform Rate Contract (e.g., GeM)</w:t>
      </w:r>
    </w:p>
    <w:p>
      <w:pPr>
        <w:pStyle w:val="Normal"/>
        <w:spacing w:before="100" w:after="100"/>
        <w:rPr/>
      </w:pPr>
      <w:r>
        <w:rPr>
          <w:b/>
          <w:bCs/>
          <w:sz w:val="19"/>
          <w:szCs w:val="19"/>
        </w:rPr>
        <w:t>File Movement Summary (tick / date-stamp at each stage as the file moves):</w:t>
      </w:r>
    </w:p>
    <w:tbl>
      <w:tblPr>
        <w:tblW w:w="10465" w:type="dxa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093"/>
        <w:gridCol w:w="2093"/>
        <w:gridCol w:w="2093"/>
        <w:gridCol w:w="2093"/>
        <w:gridCol w:w="2093"/>
      </w:tblGrid>
      <w:tr>
        <w:trPr>
          <w:tblHeader w:val="true"/>
        </w:trPr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USR</w:t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PUR</w:t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BPC</w:t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CFA</w:t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PUR (PO)</w:t>
            </w:r>
          </w:p>
        </w:tc>
      </w:tr>
      <w:tr>
        <w:trPr/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784B04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1.  General Information</w:t>
      </w:r>
    </w:p>
    <w:p>
      <w:pPr>
        <w:pStyle w:val="Normal"/>
        <w:spacing w:before="170" w:after="159"/>
        <w:rPr/>
      </w:pPr>
      <w:r>
        <w:rPr>
          <w:b/>
          <w:bCs/>
          <w:sz w:val="20"/>
          <w:szCs w:val="20"/>
        </w:rPr>
        <w:t xml:space="preserve">Division / Section: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57" w:after="160"/>
        <w:rPr/>
      </w:pPr>
      <w:r>
        <w:rPr>
          <w:b/>
          <w:bCs/>
          <w:sz w:val="20"/>
          <w:szCs w:val="20"/>
        </w:rPr>
        <w:t xml:space="preserve">Indentor’s ID: </w:t>
      </w:r>
      <w:r>
        <w:rPr>
          <w:sz w:val="20"/>
          <w:szCs w:val="20"/>
        </w:rPr>
        <w:t xml:space="preserve">_________________ </w:t>
      </w:r>
      <w:r>
        <w:rPr>
          <w:b/>
          <w:bCs/>
          <w:sz w:val="20"/>
          <w:szCs w:val="20"/>
        </w:rPr>
        <w:t xml:space="preserve">Indentor Name: </w:t>
      </w:r>
      <w:r>
        <w:rPr>
          <w:sz w:val="20"/>
          <w:szCs w:val="20"/>
        </w:rPr>
        <w:t>___________________________________________________________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Email ID: </w:t>
      </w:r>
      <w:r>
        <w:rPr>
          <w:sz w:val="20"/>
          <w:szCs w:val="20"/>
        </w:rPr>
        <w:t xml:space="preserve">_______________________________________ </w:t>
      </w:r>
      <w:r>
        <w:rPr>
          <w:b/>
          <w:bCs/>
          <w:sz w:val="20"/>
          <w:szCs w:val="20"/>
        </w:rPr>
        <w:t xml:space="preserve">Phone No. (Extn. / Mobile): </w:t>
      </w:r>
      <w:r>
        <w:rPr>
          <w:sz w:val="20"/>
          <w:szCs w:val="20"/>
        </w:rPr>
        <w:t>_______________________________</w:t>
      </w:r>
    </w:p>
    <w:p>
      <w:pPr>
        <w:pStyle w:val="Normal"/>
        <w:spacing w:before="0" w:after="0"/>
        <w:rPr/>
      </w:pPr>
      <w:r>
        <w:rPr>
          <w:b/>
          <w:bCs/>
          <w:sz w:val="20"/>
          <w:szCs w:val="20"/>
        </w:rPr>
        <w:t xml:space="preserve">Item(s) Description: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>
          <w:i/>
          <w:i/>
          <w:iCs/>
          <w:color w:themeColor="light1" w:themeShade="80" w:val="808080"/>
        </w:rPr>
      </w:pPr>
      <w:r>
        <w:rPr>
          <w:i/>
          <w:iCs/>
          <w:color w:themeColor="light1" w:themeShade="80" w:val="808080"/>
          <w:sz w:val="20"/>
          <w:szCs w:val="20"/>
        </w:rPr>
        <w:t>(Attach separate sheet, if necessary)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Quantity Required: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hd w:val="clear" w:fill="784B04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2.  Indent Against Active Rate Contract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1 — Indent Against Active Rate Contract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Item(s) selected from the active, approved Rate Contract list. This mode prevents the selection of non-contracted or off-catalog variants.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Rate Contract Reference No.: </w:t>
      </w:r>
      <w:r>
        <w:rPr>
          <w:sz w:val="20"/>
          <w:szCs w:val="20"/>
        </w:rPr>
        <w:t>__________________________________________________________________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Rate Contract Validity Period (From–To):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Exact Brand: </w:t>
      </w:r>
      <w:r>
        <w:rPr>
          <w:sz w:val="20"/>
          <w:szCs w:val="20"/>
        </w:rPr>
        <w:t>________________________________________________________________________________</w:t>
      </w:r>
    </w:p>
    <w:p>
      <w:pPr>
        <w:pStyle w:val="Normal"/>
        <w:spacing w:before="0" w:after="0"/>
        <w:rPr/>
      </w:pPr>
      <w:r>
        <w:rPr>
          <w:b/>
          <w:bCs/>
          <w:sz w:val="20"/>
          <w:szCs w:val="20"/>
        </w:rPr>
        <w:t xml:space="preserve">Catalog / Item Code No.: </w:t>
      </w:r>
      <w:r>
        <w:rPr>
          <w:sz w:val="20"/>
          <w:szCs w:val="20"/>
        </w:rPr>
        <w:t>______________________________________________________________________</w:t>
      </w:r>
    </w:p>
    <w:p>
      <w:pPr>
        <w:pStyle w:val="Normal"/>
        <w:spacing w:before="0" w:after="160"/>
        <w:rPr>
          <w:i/>
          <w:i/>
          <w:iCs/>
          <w:color w:themeColor="light1" w:themeShade="80" w:val="808080"/>
        </w:rPr>
      </w:pPr>
      <w:r>
        <w:rPr>
          <w:i/>
          <w:iCs/>
          <w:color w:themeColor="light1" w:themeShade="80" w:val="808080"/>
          <w:sz w:val="20"/>
          <w:szCs w:val="20"/>
        </w:rPr>
        <w:t>(Attach separate sheet, if necessary)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Contracted Unit Price (₹): </w:t>
      </w:r>
      <w:r>
        <w:rPr>
          <w:sz w:val="20"/>
          <w:szCs w:val="20"/>
        </w:rPr>
        <w:t>_____________________________________________________________________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Total Estimated Value (₹) [Unit Price × Quantity]: </w:t>
      </w:r>
      <w:r>
        <w:rPr>
          <w:sz w:val="20"/>
          <w:szCs w:val="20"/>
        </w:rPr>
        <w:t>_________________________________________________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33"/>
        <w:gridCol w:w="2837"/>
        <w:gridCol w:w="2834"/>
        <w:gridCol w:w="1961"/>
      </w:tblGrid>
      <w:tr>
        <w:trPr>
          <w:tblHeader w:val="true"/>
        </w:trPr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Name</w:t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Role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Signature</w:t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Indentor / User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Head of Division (HoD)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784B04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3.  Contractual Price Verification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2 — Contractual Price Verification (Purchase Section)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Purchase Section cross-checks the Indentor's PR against the master Rate Contract schedule signed with the manufacturer/vendor, to prevent billing errors and ensure contract compliance.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616"/>
        <w:gridCol w:w="2618"/>
        <w:gridCol w:w="3052"/>
        <w:gridCol w:w="2179"/>
      </w:tblGrid>
      <w:tr>
        <w:trPr>
          <w:tblHeader w:val="true"/>
        </w:trPr>
        <w:tc>
          <w:tcPr>
            <w:tcW w:w="2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Parameter</w:t>
            </w:r>
          </w:p>
        </w:tc>
        <w:tc>
          <w:tcPr>
            <w:tcW w:w="26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As per Indentor's PR</w:t>
            </w:r>
          </w:p>
        </w:tc>
        <w:tc>
          <w:tcPr>
            <w:tcW w:w="30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As per Master RC Schedule</w:t>
            </w:r>
          </w:p>
        </w:tc>
        <w:tc>
          <w:tcPr>
            <w:tcW w:w="21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Matched (Y/N)</w:t>
            </w:r>
          </w:p>
        </w:tc>
      </w:tr>
      <w:tr>
        <w:trPr/>
        <w:tc>
          <w:tcPr>
            <w:tcW w:w="2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170" w:after="159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Catalog price verified 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Contract discount(s) verified 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Rate Contract validity period confirmed</w:t>
      </w:r>
    </w:p>
    <w:p>
      <w:pPr>
        <w:pStyle w:val="Normal"/>
        <w:spacing w:before="170" w:after="159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533" w:type="dxa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33"/>
        <w:gridCol w:w="3167"/>
        <w:gridCol w:w="2504"/>
        <w:gridCol w:w="2028"/>
      </w:tblGrid>
      <w:tr>
        <w:trPr>
          <w:tblHeader w:val="true"/>
        </w:trPr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Name</w:t>
            </w:r>
          </w:p>
        </w:tc>
        <w:tc>
          <w:tcPr>
            <w:tcW w:w="31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Role</w:t>
            </w:r>
          </w:p>
        </w:tc>
        <w:tc>
          <w:tcPr>
            <w:tcW w:w="25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Signature</w:t>
            </w:r>
          </w:p>
        </w:tc>
        <w:tc>
          <w:tcPr>
            <w:tcW w:w="20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Purchase Section — Verifying Officer</w:t>
            </w:r>
          </w:p>
        </w:tc>
        <w:tc>
          <w:tcPr>
            <w:tcW w:w="25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56" w:after="45"/>
        <w:rPr>
          <w:b/>
          <w:bCs/>
        </w:rPr>
      </w:pPr>
      <w:r>
        <w:rPr>
          <w:b/>
          <w:bCs/>
          <w:sz w:val="20"/>
          <w:szCs w:val="20"/>
        </w:rPr>
        <w:t>Total Value:</w:t>
      </w:r>
    </w:p>
    <w:p>
      <w:pPr>
        <w:pStyle w:val="Normal"/>
        <w:shd w:val="clear" w:fill="784B04"/>
        <w:spacing w:before="300" w:after="119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4.  Budget &amp; Planning Committee (BPC) — Budget Allocation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3 — Budget Allocation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Project &amp; Budget Head: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Fund availability verified within the routine consumables head 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File cleared for financial sanction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33"/>
        <w:gridCol w:w="2837"/>
        <w:gridCol w:w="2834"/>
        <w:gridCol w:w="1961"/>
      </w:tblGrid>
      <w:tr>
        <w:trPr>
          <w:tblHeader w:val="true"/>
        </w:trPr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Name</w:t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Role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Signature</w:t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BPC — Member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784B04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5.  Approval of Competent Financial Authority (CFA) — Financial Sanction &amp; Supply Order Issuance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4 — Financial Sanction &amp; Supply Order Issuance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Sanctioned Amount (₹):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Registrar’s Signature &amp; Date: </w:t>
      </w:r>
      <w:r>
        <w:rPr>
          <w:b w:val="false"/>
          <w:bCs w:val="false"/>
          <w:sz w:val="20"/>
          <w:szCs w:val="20"/>
        </w:rPr>
        <w:t>__________________________________________________</w:t>
      </w:r>
    </w:p>
    <w:p>
      <w:pPr>
        <w:pStyle w:val="Normal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5234"/>
        <w:gridCol w:w="5231"/>
      </w:tblGrid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5CE" w:val="clea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Decision of Competent Financial Authority (CFA) — Financial Sanction — Purchase through Rate Contract</w:t>
            </w:r>
          </w:p>
        </w:tc>
      </w:tr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>
            <w:pPr>
              <w:pStyle w:val="Normal"/>
              <w:rPr/>
            </w:pPr>
            <w:r>
              <w:rPr>
                <w:i/>
                <w:iCs/>
                <w:color w:val="777777"/>
                <w:sz w:val="18"/>
                <w:szCs w:val="18"/>
              </w:rPr>
              <w:t>On approval, the file returns to the Purchase Section, which generates and transmits a formal Supply Order against the active Rate Contract and executes delivery scheduling.</w:t>
            </w:r>
          </w:p>
        </w:tc>
      </w:tr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bottom w:w="100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 xml:space="preserve">Approved        </w:t>
            </w: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 xml:space="preserve">Approved with Modifications        </w:t>
            </w: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>Not Approved / Returned</w:t>
            </w:r>
          </w:p>
          <w:p>
            <w:pPr>
              <w:pStyle w:val="Normal"/>
              <w:spacing w:before="0" w:after="100"/>
              <w:rPr/>
            </w:pPr>
            <w:r>
              <w:rPr>
                <w:b/>
                <w:bCs/>
                <w:sz w:val="19"/>
                <w:szCs w:val="19"/>
              </w:rPr>
              <w:t>Remarks / Modifications (if any):</w:t>
            </w:r>
          </w:p>
          <w:p>
            <w:pPr>
              <w:pStyle w:val="Normal"/>
              <w:pBdr>
                <w:bottom w:val="single" w:sz="4" w:space="0" w:color="999999"/>
              </w:pBdr>
              <w:spacing w:before="0" w:after="16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</w:tr>
      <w:tr>
        <w:trPr/>
        <w:tc>
          <w:tcPr>
            <w:tcW w:w="52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Designation of CFA (DIRECTOR):</w:t>
            </w:r>
          </w:p>
        </w:tc>
        <w:tc>
          <w:tcPr>
            <w:tcW w:w="5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Signature &amp; Date:</w:t>
            </w:r>
          </w:p>
        </w:tc>
      </w:tr>
      <w:tr>
        <w:trPr/>
        <w:tc>
          <w:tcPr>
            <w:tcW w:w="52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260" w:after="0"/>
        <w:jc w:val="center"/>
        <w:rPr/>
      </w:pPr>
      <w:r>
        <w:rPr>
          <w:i/>
          <w:iCs/>
          <w:color w:val="777777"/>
          <w:sz w:val="18"/>
          <w:szCs w:val="18"/>
        </w:rPr>
        <w:t xml:space="preserve">— </w:t>
      </w:r>
      <w:r>
        <w:rPr>
          <w:i/>
          <w:iCs/>
          <w:color w:val="777777"/>
          <w:sz w:val="18"/>
          <w:szCs w:val="18"/>
        </w:rPr>
        <w:t>End of Form —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720" w:right="720" w:gutter="0" w:header="708" w:top="900" w:footer="708" w:bottom="90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color w:val="999999"/>
        <w:sz w:val="15"/>
        <w:szCs w:val="15"/>
      </w:rPr>
      <w:t xml:space="preserve">Page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>
        <w:color w:val="999999"/>
        <w:sz w:val="15"/>
        <w:szCs w:val="15"/>
      </w:rPr>
      <w:t xml:space="preserve"> of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color w:val="999999"/>
        <w:sz w:val="15"/>
        <w:szCs w:val="15"/>
      </w:rPr>
      <w:t xml:space="preserve">Page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>
        <w:color w:val="999999"/>
        <w:sz w:val="15"/>
        <w:szCs w:val="15"/>
      </w:rPr>
      <w:t xml:space="preserve"> of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/>
    </w:pPr>
    <w:r>
      <w:rPr>
        <w:color w:val="999999"/>
        <w:sz w:val="15"/>
        <w:szCs w:val="15"/>
      </w:rPr>
      <w:t>SINP — Purchase Requisition Form (Rate Contract)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/>
    </w:pPr>
    <w:r>
      <w:rPr>
        <w:color w:val="999999"/>
        <w:sz w:val="15"/>
        <w:szCs w:val="15"/>
      </w:rPr>
      <w:t>SINP — Purchase Requisition Form (Rate Contract)</w:t>
    </w:r>
  </w:p>
</w:hdr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 Devanagari"/>
        <w:lang w:val="en-IN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Noto Sans Devanagari"/>
      <w:color w:val="auto"/>
      <w:kern w:val="0"/>
      <w:sz w:val="20"/>
      <w:szCs w:val="20"/>
      <w:lang w:val="en-IN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Noto Sans Devanagari"/>
      <w:b/>
      <w:bCs/>
      <w:color w:val="auto"/>
      <w:kern w:val="0"/>
      <w:sz w:val="20"/>
      <w:szCs w:val="20"/>
      <w:lang w:val="en-IN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Noto Sans Devanagari"/>
      <w:color w:val="auto"/>
      <w:kern w:val="0"/>
      <w:sz w:val="20"/>
      <w:szCs w:val="20"/>
      <w:lang w:val="en-IN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63</TotalTime>
  <Application>LibreOffice/24.2.7.2$Linux_X86_64 LibreOffice_project/420$Build-2</Application>
  <AppVersion>15.0000</AppVersion>
  <Pages>2</Pages>
  <Words>415</Words>
  <Characters>3231</Characters>
  <CharactersWithSpaces>3661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2026-07-19T16:00:59Z</dcterms:created>
  <dc:creator>Un-named</dc:creator>
  <dc:description/>
  <dc:language>en-IN</dc:language>
  <cp:lastModifiedBy/>
  <dcterms:modified xsi:type="dcterms:W3CDTF">2026-07-30T23:14:51Z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