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
        <w:jc w:val="center"/>
        <w:rPr/>
      </w:pPr>
      <w:r>
        <w:rPr>
          <w:b/>
          <w:bCs/>
          <w:color w:val="1F3864"/>
          <w:sz w:val="30"/>
          <w:szCs w:val="30"/>
        </w:rPr>
        <w:t>SAHA INSTITUTE OF NUCLEAR PHYSICS</w:t>
      </w:r>
    </w:p>
    <w:p>
      <w:pPr>
        <w:pStyle w:val="Normal"/>
        <w:spacing w:before="0" w:after="40"/>
        <w:jc w:val="center"/>
        <w:rPr/>
      </w:pPr>
      <w:r>
        <w:rPr>
          <w:color w:val="555555"/>
          <w:sz w:val="19"/>
          <w:szCs w:val="19"/>
        </w:rPr>
        <w:t>1/AF, Bidhannagar, Kolkata – 700064</w:t>
      </w:r>
    </w:p>
    <w:p>
      <w:pPr>
        <w:pStyle w:val="Normal"/>
        <w:spacing w:before="0" w:after="200"/>
        <w:jc w:val="center"/>
        <w:rPr>
          <w:i/>
          <w:i/>
          <w:iCs/>
          <w:color w:val="555555"/>
          <w:sz w:val="18"/>
          <w:szCs w:val="18"/>
        </w:rPr>
      </w:pPr>
      <w:r>
        <w:rPr/>
      </w:r>
    </w:p>
    <w:p>
      <w:pPr>
        <w:pStyle w:val="Normal"/>
        <w:pBdr>
          <w:bottom w:val="double" w:sz="8" w:space="0" w:color="1F3864"/>
        </w:pBdr>
        <w:spacing w:before="0" w:after="60"/>
        <w:jc w:val="center"/>
        <w:rPr/>
      </w:pPr>
      <w:r>
        <w:rPr>
          <w:b/>
          <w:bCs/>
          <w:sz w:val="26"/>
          <w:szCs w:val="26"/>
        </w:rPr>
        <w:t>PURCHASE REQUISITION FORM</w:t>
      </w:r>
    </w:p>
    <w:p>
      <w:pPr>
        <w:pStyle w:val="Normal"/>
        <w:spacing w:before="100" w:after="100"/>
        <w:jc w:val="center"/>
        <w:rPr/>
      </w:pPr>
      <w:r>
        <w:rPr>
          <w:b/>
          <w:bCs/>
          <w:color w:val="1F3864"/>
          <w:sz w:val="21"/>
          <w:szCs w:val="21"/>
        </w:rPr>
        <w:t>Purchase through Global Tender Enquiry (GTE) — Form 8</w:t>
      </w:r>
    </w:p>
    <w:p>
      <w:pPr>
        <w:pStyle w:val="Normal"/>
        <w:spacing w:before="0" w:after="160"/>
        <w:rPr/>
      </w:pPr>
      <w:r>
        <w:rPr>
          <w:i/>
          <w:iCs/>
          <w:color w:val="777777"/>
          <w:sz w:val="18"/>
          <w:szCs w:val="18"/>
        </w:rPr>
        <w:t>The flow is identical to the Two-Part Tendering process, with additional statutory prerequisites and checkpoints applicable where no Indian manufacturer/vendor is capable of meeting the required specialized technical specifications.</w:t>
      </w:r>
    </w:p>
    <w:p>
      <w:pPr>
        <w:pStyle w:val="Normal"/>
        <w:spacing w:before="0" w:after="160"/>
        <w:rPr/>
      </w:pPr>
      <w:r>
        <w:rPr>
          <w:b/>
          <w:bCs/>
          <w:sz w:val="20"/>
          <w:szCs w:val="20"/>
        </w:rPr>
        <w:t xml:space="preserve">File No.: </w:t>
      </w:r>
      <w:r>
        <w:rPr>
          <w:sz w:val="20"/>
          <w:szCs w:val="20"/>
        </w:rPr>
        <w:t>____________________________</w:t>
      </w:r>
      <w:r>
        <w:rPr>
          <w:b/>
          <w:bCs/>
          <w:sz w:val="20"/>
          <w:szCs w:val="20"/>
        </w:rPr>
        <w:t xml:space="preserve">        Date: </w:t>
      </w:r>
      <w:r>
        <w:rPr>
          <w:sz w:val="20"/>
          <w:szCs w:val="20"/>
        </w:rPr>
        <w:t>____________________</w:t>
      </w:r>
    </w:p>
    <w:p>
      <w:pPr>
        <w:pStyle w:val="Normal"/>
        <w:spacing w:before="100" w:after="100"/>
        <w:rPr/>
      </w:pPr>
      <w:r>
        <w:rPr>
          <w:b/>
          <w:bCs/>
          <w:sz w:val="19"/>
          <w:szCs w:val="19"/>
        </w:rPr>
        <w:t>File Movement Summary (tick / date-stamp at each stage as the file moves):</w:t>
      </w:r>
    </w:p>
    <w:tbl>
      <w:tblPr>
        <w:tblW w:w="10467" w:type="dxa"/>
        <w:jc w:val="left"/>
        <w:tblInd w:w="100" w:type="dxa"/>
        <w:tblLayout w:type="fixed"/>
        <w:tblCellMar>
          <w:top w:w="60" w:type="dxa"/>
          <w:left w:w="100" w:type="dxa"/>
          <w:bottom w:w="60" w:type="dxa"/>
          <w:right w:w="100" w:type="dxa"/>
        </w:tblCellMar>
      </w:tblPr>
      <w:tblGrid>
        <w:gridCol w:w="872"/>
        <w:gridCol w:w="872"/>
        <w:gridCol w:w="872"/>
        <w:gridCol w:w="825"/>
        <w:gridCol w:w="918"/>
        <w:gridCol w:w="874"/>
        <w:gridCol w:w="816"/>
        <w:gridCol w:w="968"/>
        <w:gridCol w:w="832"/>
        <w:gridCol w:w="871"/>
        <w:gridCol w:w="871"/>
        <w:gridCol w:w="875"/>
      </w:tblGrid>
      <w:tr>
        <w:trPr>
          <w:tblHeader w:val="true"/>
        </w:trPr>
        <w:tc>
          <w:tcPr>
            <w:tcW w:w="872"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5"/>
                <w:szCs w:val="15"/>
              </w:rPr>
              <w:t>USR</w:t>
            </w:r>
          </w:p>
        </w:tc>
        <w:tc>
          <w:tcPr>
            <w:tcW w:w="872"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5"/>
                <w:szCs w:val="15"/>
              </w:rPr>
              <w:t>PUR</w:t>
            </w:r>
          </w:p>
        </w:tc>
        <w:tc>
          <w:tcPr>
            <w:tcW w:w="872" w:type="dxa"/>
            <w:tcBorders>
              <w:top w:val="single" w:sz="4" w:space="0" w:color="999999"/>
              <w:left w:val="single" w:sz="4" w:space="0" w:color="999999"/>
              <w:bottom w:val="single" w:sz="4" w:space="0" w:color="999999"/>
            </w:tcBorders>
            <w:shd w:fill="BBE6FE" w:val="clear"/>
            <w:vAlign w:val="center"/>
          </w:tcPr>
          <w:p>
            <w:pPr>
              <w:pStyle w:val="Normal"/>
              <w:rPr>
                <w:b/>
                <w:bCs/>
                <w:sz w:val="15"/>
                <w:szCs w:val="15"/>
              </w:rPr>
            </w:pPr>
            <w:r>
              <w:rPr>
                <w:b/>
                <w:bCs/>
                <w:sz w:val="15"/>
                <w:szCs w:val="15"/>
              </w:rPr>
              <w:t>PWC</w:t>
            </w:r>
          </w:p>
        </w:tc>
        <w:tc>
          <w:tcPr>
            <w:tcW w:w="825"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5"/>
                <w:szCs w:val="15"/>
              </w:rPr>
              <w:t>BPC</w:t>
            </w:r>
          </w:p>
        </w:tc>
        <w:tc>
          <w:tcPr>
            <w:tcW w:w="918" w:type="dxa"/>
            <w:tcBorders>
              <w:top w:val="single" w:sz="4" w:space="0" w:color="999999"/>
              <w:left w:val="single" w:sz="4" w:space="0" w:color="999999"/>
              <w:bottom w:val="single" w:sz="4" w:space="0" w:color="999999"/>
            </w:tcBorders>
            <w:shd w:fill="BBE6FE" w:val="clear"/>
            <w:vAlign w:val="center"/>
          </w:tcPr>
          <w:p>
            <w:pPr>
              <w:pStyle w:val="Normal"/>
              <w:rPr/>
            </w:pPr>
            <w:r>
              <w:rPr>
                <w:b/>
                <w:bCs/>
                <w:sz w:val="15"/>
                <w:szCs w:val="15"/>
              </w:rPr>
              <w:t>CFA+DAE</w:t>
            </w:r>
          </w:p>
        </w:tc>
        <w:tc>
          <w:tcPr>
            <w:tcW w:w="874" w:type="dxa"/>
            <w:tcBorders>
              <w:top w:val="single" w:sz="4" w:space="0" w:color="999999"/>
              <w:left w:val="single" w:sz="4" w:space="0" w:color="999999"/>
              <w:bottom w:val="single" w:sz="4" w:space="0" w:color="999999"/>
            </w:tcBorders>
            <w:shd w:fill="BBE6FE" w:val="clear"/>
            <w:vAlign w:val="center"/>
          </w:tcPr>
          <w:p>
            <w:pPr>
              <w:pStyle w:val="Normal"/>
              <w:rPr/>
            </w:pPr>
            <w:r>
              <w:rPr>
                <w:b/>
                <w:bCs/>
                <w:sz w:val="15"/>
                <w:szCs w:val="15"/>
              </w:rPr>
              <w:t>PUR</w:t>
            </w:r>
          </w:p>
        </w:tc>
        <w:tc>
          <w:tcPr>
            <w:tcW w:w="816"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5"/>
                <w:szCs w:val="15"/>
              </w:rPr>
              <w:t>TEC</w:t>
            </w:r>
          </w:p>
        </w:tc>
        <w:tc>
          <w:tcPr>
            <w:tcW w:w="968" w:type="dxa"/>
            <w:tcBorders>
              <w:top w:val="single" w:sz="4" w:space="0" w:color="999999"/>
              <w:left w:val="single" w:sz="4" w:space="0" w:color="999999"/>
              <w:bottom w:val="single" w:sz="4" w:space="0" w:color="999999"/>
            </w:tcBorders>
            <w:shd w:fill="BBE6FE" w:val="clear"/>
            <w:vAlign w:val="center"/>
          </w:tcPr>
          <w:p>
            <w:pPr>
              <w:pStyle w:val="Normal"/>
              <w:rPr/>
            </w:pPr>
            <w:r>
              <w:rPr>
                <w:b/>
                <w:bCs/>
                <w:sz w:val="15"/>
                <w:szCs w:val="15"/>
              </w:rPr>
              <w:t>PWC+CFA</w:t>
            </w:r>
          </w:p>
        </w:tc>
        <w:tc>
          <w:tcPr>
            <w:tcW w:w="832"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5"/>
                <w:szCs w:val="15"/>
              </w:rPr>
              <w:t>PAC</w:t>
            </w:r>
          </w:p>
        </w:tc>
        <w:tc>
          <w:tcPr>
            <w:tcW w:w="87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5"/>
                <w:szCs w:val="15"/>
              </w:rPr>
              <w:t>BPC</w:t>
            </w:r>
          </w:p>
        </w:tc>
        <w:tc>
          <w:tcPr>
            <w:tcW w:w="87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5"/>
                <w:szCs w:val="15"/>
              </w:rPr>
              <w:t>CFA</w:t>
            </w:r>
          </w:p>
        </w:tc>
        <w:tc>
          <w:tcPr>
            <w:tcW w:w="875"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5"/>
                <w:szCs w:val="15"/>
              </w:rPr>
              <w:t>PUR (PO)</w:t>
            </w:r>
          </w:p>
        </w:tc>
      </w:tr>
      <w:tr>
        <w:trPr/>
        <w:tc>
          <w:tcPr>
            <w:tcW w:w="87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2" w:type="dxa"/>
            <w:tcBorders>
              <w:top w:val="single" w:sz="4" w:space="0" w:color="999999"/>
              <w:left w:val="single" w:sz="4" w:space="0" w:color="999999"/>
              <w:bottom w:val="single" w:sz="4" w:space="0" w:color="999999"/>
            </w:tcBorders>
            <w:vAlign w:val="center"/>
          </w:tcPr>
          <w:p>
            <w:pPr>
              <w:pStyle w:val="Normal"/>
              <w:rPr/>
            </w:pPr>
            <w:r>
              <w:rPr/>
            </w:r>
          </w:p>
        </w:tc>
        <w:tc>
          <w:tcPr>
            <w:tcW w:w="825"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918" w:type="dxa"/>
            <w:tcBorders>
              <w:top w:val="single" w:sz="4" w:space="0" w:color="999999"/>
              <w:left w:val="single" w:sz="4" w:space="0" w:color="999999"/>
              <w:bottom w:val="single" w:sz="4" w:space="0" w:color="999999"/>
            </w:tcBorders>
            <w:vAlign w:val="center"/>
          </w:tcPr>
          <w:p>
            <w:pPr>
              <w:pStyle w:val="Normal"/>
              <w:rPr/>
            </w:pPr>
            <w:r>
              <w:rPr/>
            </w:r>
          </w:p>
        </w:tc>
        <w:tc>
          <w:tcPr>
            <w:tcW w:w="874" w:type="dxa"/>
            <w:tcBorders>
              <w:top w:val="single" w:sz="4" w:space="0" w:color="999999"/>
              <w:left w:val="single" w:sz="4" w:space="0" w:color="999999"/>
              <w:bottom w:val="single" w:sz="4" w:space="0" w:color="999999"/>
            </w:tcBorders>
            <w:vAlign w:val="center"/>
          </w:tcPr>
          <w:p>
            <w:pPr>
              <w:pStyle w:val="Normal"/>
              <w:rPr/>
            </w:pPr>
            <w:r>
              <w:rPr/>
            </w:r>
          </w:p>
        </w:tc>
        <w:tc>
          <w:tcPr>
            <w:tcW w:w="81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968" w:type="dxa"/>
            <w:tcBorders>
              <w:top w:val="single" w:sz="4" w:space="0" w:color="999999"/>
              <w:left w:val="single" w:sz="4" w:space="0" w:color="999999"/>
              <w:bottom w:val="single" w:sz="4" w:space="0" w:color="999999"/>
            </w:tcBorders>
            <w:vAlign w:val="center"/>
          </w:tcPr>
          <w:p>
            <w:pPr>
              <w:pStyle w:val="Normal"/>
              <w:rPr/>
            </w:pPr>
            <w:r>
              <w:rPr/>
            </w:r>
          </w:p>
        </w:tc>
        <w:tc>
          <w:tcPr>
            <w:tcW w:w="83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5"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87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2" w:type="dxa"/>
            <w:tcBorders>
              <w:top w:val="single" w:sz="4" w:space="0" w:color="999999"/>
              <w:left w:val="single" w:sz="4" w:space="0" w:color="999999"/>
              <w:bottom w:val="single" w:sz="4" w:space="0" w:color="999999"/>
            </w:tcBorders>
            <w:vAlign w:val="center"/>
          </w:tcPr>
          <w:p>
            <w:pPr>
              <w:pStyle w:val="Normal"/>
              <w:rPr/>
            </w:pPr>
            <w:r>
              <w:rPr/>
            </w:r>
          </w:p>
        </w:tc>
        <w:tc>
          <w:tcPr>
            <w:tcW w:w="825"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918" w:type="dxa"/>
            <w:tcBorders>
              <w:top w:val="single" w:sz="4" w:space="0" w:color="999999"/>
              <w:left w:val="single" w:sz="4" w:space="0" w:color="999999"/>
              <w:bottom w:val="single" w:sz="4" w:space="0" w:color="999999"/>
            </w:tcBorders>
            <w:vAlign w:val="center"/>
          </w:tcPr>
          <w:p>
            <w:pPr>
              <w:pStyle w:val="Normal"/>
              <w:rPr/>
            </w:pPr>
            <w:r>
              <w:rPr/>
            </w:r>
          </w:p>
        </w:tc>
        <w:tc>
          <w:tcPr>
            <w:tcW w:w="874" w:type="dxa"/>
            <w:tcBorders>
              <w:top w:val="single" w:sz="4" w:space="0" w:color="999999"/>
              <w:left w:val="single" w:sz="4" w:space="0" w:color="999999"/>
              <w:bottom w:val="single" w:sz="4" w:space="0" w:color="999999"/>
            </w:tcBorders>
            <w:vAlign w:val="center"/>
          </w:tcPr>
          <w:p>
            <w:pPr>
              <w:pStyle w:val="Normal"/>
              <w:rPr/>
            </w:pPr>
            <w:r>
              <w:rPr/>
            </w:r>
          </w:p>
        </w:tc>
        <w:tc>
          <w:tcPr>
            <w:tcW w:w="81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968" w:type="dxa"/>
            <w:tcBorders>
              <w:top w:val="single" w:sz="4" w:space="0" w:color="999999"/>
              <w:left w:val="single" w:sz="4" w:space="0" w:color="999999"/>
              <w:bottom w:val="single" w:sz="4" w:space="0" w:color="999999"/>
            </w:tcBorders>
            <w:vAlign w:val="center"/>
          </w:tcPr>
          <w:p>
            <w:pPr>
              <w:pStyle w:val="Normal"/>
              <w:rPr/>
            </w:pPr>
            <w:r>
              <w:rPr/>
            </w:r>
          </w:p>
        </w:tc>
        <w:tc>
          <w:tcPr>
            <w:tcW w:w="83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875"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1.  General Information</w:t>
      </w:r>
    </w:p>
    <w:p>
      <w:pPr>
        <w:pStyle w:val="Normal"/>
        <w:spacing w:before="0" w:after="160"/>
        <w:rPr/>
      </w:pPr>
      <w:r>
        <w:rPr>
          <w:b/>
          <w:bCs/>
          <w:sz w:val="20"/>
          <w:szCs w:val="20"/>
        </w:rPr>
        <w:t xml:space="preserve">Division / Section: </w:t>
      </w:r>
      <w:r>
        <w:rPr>
          <w:sz w:val="20"/>
          <w:szCs w:val="20"/>
        </w:rPr>
        <w:t>_______________________________________________________</w:t>
      </w:r>
    </w:p>
    <w:p>
      <w:pPr>
        <w:pStyle w:val="Normal"/>
        <w:spacing w:before="0" w:after="160"/>
        <w:rPr/>
      </w:pPr>
      <w:r>
        <w:rPr>
          <w:b/>
          <w:bCs/>
          <w:sz w:val="20"/>
          <w:szCs w:val="20"/>
        </w:rPr>
        <w:t xml:space="preserve">Indentor’s ID: </w:t>
      </w:r>
      <w:r>
        <w:rPr>
          <w:sz w:val="20"/>
          <w:szCs w:val="20"/>
        </w:rPr>
        <w:t xml:space="preserve">_________________ </w:t>
      </w:r>
      <w:r>
        <w:rPr>
          <w:b/>
          <w:bCs/>
          <w:sz w:val="20"/>
          <w:szCs w:val="20"/>
        </w:rPr>
        <w:t xml:space="preserve">Indentor Name: </w:t>
      </w:r>
      <w:r>
        <w:rPr>
          <w:sz w:val="20"/>
          <w:szCs w:val="20"/>
        </w:rPr>
        <w:t>___________________________________________________________</w:t>
      </w:r>
    </w:p>
    <w:p>
      <w:pPr>
        <w:pStyle w:val="Normal"/>
        <w:spacing w:before="0" w:after="160"/>
        <w:rPr/>
      </w:pPr>
      <w:r>
        <w:rPr>
          <w:b/>
          <w:bCs/>
          <w:sz w:val="20"/>
          <w:szCs w:val="20"/>
        </w:rPr>
        <w:t xml:space="preserve">Email ID: </w:t>
      </w:r>
      <w:r>
        <w:rPr>
          <w:sz w:val="20"/>
          <w:szCs w:val="20"/>
        </w:rPr>
        <w:t xml:space="preserve">_______________________________________ </w:t>
      </w:r>
      <w:r>
        <w:rPr>
          <w:b/>
          <w:bCs/>
          <w:sz w:val="20"/>
          <w:szCs w:val="20"/>
        </w:rPr>
        <w:t xml:space="preserve">Phone No. (Extn. / Mobile): </w:t>
      </w:r>
      <w:r>
        <w:rPr>
          <w:sz w:val="20"/>
          <w:szCs w:val="20"/>
        </w:rPr>
        <w:t>_______________________________</w:t>
      </w:r>
    </w:p>
    <w:p>
      <w:pPr>
        <w:pStyle w:val="Normal"/>
        <w:spacing w:before="0" w:after="0"/>
        <w:rPr/>
      </w:pPr>
      <w:r>
        <w:rPr>
          <w:b/>
          <w:bCs/>
          <w:sz w:val="20"/>
          <w:szCs w:val="20"/>
        </w:rPr>
        <w:t xml:space="preserve">Item Description &amp; Quantity Required: </w:t>
      </w:r>
      <w:r>
        <w:rPr>
          <w:sz w:val="20"/>
          <w:szCs w:val="20"/>
        </w:rPr>
        <w:t>_______________________________________________________</w:t>
      </w:r>
    </w:p>
    <w:p>
      <w:pPr>
        <w:pStyle w:val="Normal"/>
        <w:spacing w:before="0" w:after="160"/>
        <w:rPr>
          <w:i/>
          <w:i/>
          <w:iCs/>
          <w:color w:themeColor="light1" w:themeShade="80" w:val="808080"/>
        </w:rPr>
      </w:pPr>
      <w:r>
        <w:rPr>
          <w:i/>
          <w:iCs/>
          <w:color w:themeColor="light1" w:themeShade="80" w:val="808080"/>
          <w:sz w:val="20"/>
          <w:szCs w:val="20"/>
        </w:rPr>
        <w:t>(Attach breakups)</w:t>
      </w:r>
    </w:p>
    <w:p>
      <w:pPr>
        <w:pStyle w:val="Normal"/>
        <w:spacing w:before="0" w:after="160"/>
        <w:rPr/>
      </w:pPr>
      <w:r>
        <w:rPr>
          <w:b/>
          <w:bCs/>
          <w:sz w:val="20"/>
          <w:szCs w:val="20"/>
        </w:rPr>
        <w:t xml:space="preserve">Estimated Cost — Foreign Currency (specify currency &amp; amount): </w:t>
      </w:r>
      <w:r>
        <w:rPr>
          <w:b w:val="false"/>
          <w:bCs w:val="false"/>
          <w:sz w:val="20"/>
          <w:szCs w:val="20"/>
        </w:rPr>
        <w:t>_</w:t>
      </w:r>
      <w:r>
        <w:rPr>
          <w:sz w:val="20"/>
          <w:szCs w:val="20"/>
        </w:rPr>
        <w:t>_____________________________________________</w:t>
      </w:r>
    </w:p>
    <w:p>
      <w:pPr>
        <w:pStyle w:val="Normal"/>
        <w:spacing w:before="0" w:after="160"/>
        <w:rPr/>
      </w:pPr>
      <w:r>
        <w:rPr>
          <w:b/>
          <w:bCs/>
          <w:sz w:val="20"/>
          <w:szCs w:val="20"/>
        </w:rPr>
        <w:t xml:space="preserve">Estimated Cost — INR Equivalent: </w:t>
      </w:r>
      <w:r>
        <w:rPr>
          <w:sz w:val="20"/>
          <w:szCs w:val="20"/>
        </w:rPr>
        <w:t>_______________________________________________________</w:t>
      </w:r>
    </w:p>
    <w:p>
      <w:pPr>
        <w:pStyle w:val="Normal"/>
        <w:spacing w:before="0" w:after="160"/>
        <w:rPr/>
      </w:pPr>
      <w:r>
        <w:rPr>
          <w:b/>
          <w:bCs/>
          <w:sz w:val="20"/>
          <w:szCs w:val="20"/>
        </w:rPr>
        <w:t xml:space="preserve">Likely OEM(s) / Country of Origin: </w:t>
      </w:r>
      <w:r>
        <w:rPr>
          <w:sz w:val="20"/>
          <w:szCs w:val="20"/>
        </w:rPr>
        <w:t>_______________________________________________________</w:t>
      </w:r>
    </w:p>
    <w:p>
      <w:pPr>
        <w:pStyle w:val="Normal"/>
        <w:shd w:fill="0369A3" w:val="clear"/>
        <w:spacing w:before="300" w:after="120"/>
        <w:rPr/>
      </w:pPr>
      <w:r>
        <w:rPr>
          <w:b/>
          <w:bCs/>
          <w:color w:val="FFFFFF"/>
          <w:sz w:val="22"/>
          <w:szCs w:val="22"/>
        </w:rPr>
        <w:t xml:space="preserve">  </w:t>
      </w:r>
      <w:r>
        <w:rPr>
          <w:b/>
          <w:bCs/>
          <w:color w:val="FFFFFF"/>
          <w:sz w:val="22"/>
          <w:szCs w:val="22"/>
        </w:rPr>
        <w:t>2.  Technical Formulation &amp; GTE Justification</w:t>
      </w:r>
    </w:p>
    <w:p>
      <w:pPr>
        <w:pStyle w:val="Normal"/>
        <w:spacing w:before="0" w:after="100"/>
        <w:rPr/>
      </w:pPr>
      <w:r>
        <w:rPr>
          <w:i/>
          <w:iCs/>
          <w:color w:val="555555"/>
          <w:sz w:val="18"/>
          <w:szCs w:val="18"/>
        </w:rPr>
        <w:t>Step 1 — Technical Formulation &amp; GTE Justification</w:t>
      </w:r>
    </w:p>
    <w:p>
      <w:pPr>
        <w:pStyle w:val="Normal"/>
        <w:spacing w:before="0" w:after="160"/>
        <w:rPr/>
      </w:pPr>
      <w:r>
        <w:rPr>
          <w:i/>
          <w:iCs/>
          <w:color w:val="777777"/>
          <w:sz w:val="18"/>
          <w:szCs w:val="18"/>
        </w:rPr>
        <w:t>Technical specifications must be detailed and non-restrictive.</w:t>
      </w:r>
    </w:p>
    <w:p>
      <w:pPr>
        <w:pStyle w:val="Normal"/>
        <w:spacing w:before="0" w:after="100"/>
        <w:rPr/>
      </w:pPr>
      <w:r>
        <w:rPr>
          <w:b/>
          <w:bCs/>
          <w:sz w:val="20"/>
          <w:szCs w:val="20"/>
        </w:rPr>
        <w:t>GTE Justification Note (to be reproduced verbatim, with the equipment name inserted):</w:t>
      </w:r>
    </w:p>
    <w:p>
      <w:pPr>
        <w:pStyle w:val="Normal"/>
        <w:spacing w:before="0" w:after="160"/>
        <w:rPr/>
      </w:pPr>
      <w:r>
        <w:rPr>
          <w:i/>
          <w:iCs/>
          <w:sz w:val="19"/>
          <w:szCs w:val="19"/>
        </w:rPr>
        <w:t>“</w:t>
      </w:r>
      <w:r>
        <w:rPr>
          <w:i/>
          <w:iCs/>
          <w:sz w:val="19"/>
          <w:szCs w:val="19"/>
        </w:rPr>
        <w:t>This is certified in accordance with Para 2(i) of Annexure II to the Ministry of Finance OM No. F.4/1/2021-PPD that a comprehensive market assessment has been carried out by this Institute. No Indian manufacturer was found capable of meeting the required specialized technical specifications for the [Equipment]. The item is a specialized piece of equipment required strictly for advanced research purposes and is not a routine office item. Hence, it is recommended for GTE with the approval of the Competent Authority.”</w:t>
      </w:r>
    </w:p>
    <w:p>
      <w:pPr>
        <w:pStyle w:val="Normal"/>
        <w:spacing w:before="0" w:after="100"/>
        <w:rPr/>
      </w:pPr>
      <w:r>
        <w:rPr>
          <w:b/>
          <w:bCs/>
          <w:sz w:val="20"/>
          <w:szCs w:val="20"/>
        </w:rPr>
        <w:t>Proof of Domestic Market Survey:</w:t>
      </w:r>
    </w:p>
    <w:p>
      <w:pPr>
        <w:pStyle w:val="Normal"/>
        <w:spacing w:before="0" w:after="160"/>
        <w:rPr/>
      </w:pPr>
      <w:r>
        <w:rPr>
          <w:sz w:val="22"/>
          <w:szCs w:val="22"/>
        </w:rPr>
        <w:t xml:space="preserve">☐  </w:t>
      </w:r>
      <w:r>
        <w:rPr>
          <w:sz w:val="20"/>
          <w:szCs w:val="20"/>
        </w:rPr>
        <w:t>GeM Search Report — custom bid / BoQ bid floated, resulting in zero domestic match</w:t>
      </w:r>
    </w:p>
    <w:p>
      <w:pPr>
        <w:pStyle w:val="Normal"/>
        <w:spacing w:before="0" w:after="160"/>
        <w:rPr/>
      </w:pPr>
      <w:r>
        <w:rPr>
          <w:b/>
          <w:bCs/>
          <w:sz w:val="20"/>
          <w:szCs w:val="20"/>
        </w:rPr>
        <w:t xml:space="preserve">GeM Search / Bid Reference No.: </w:t>
      </w:r>
      <w:r>
        <w:rPr>
          <w:sz w:val="20"/>
          <w:szCs w:val="20"/>
        </w:rPr>
        <w:t>___________________________________</w:t>
      </w:r>
    </w:p>
    <w:p>
      <w:pPr>
        <w:pStyle w:val="Normal"/>
        <w:spacing w:before="0" w:after="160"/>
        <w:rPr/>
      </w:pPr>
      <w:r>
        <w:rPr>
          <w:sz w:val="22"/>
          <w:szCs w:val="22"/>
        </w:rPr>
        <w:t xml:space="preserve">☐  </w:t>
      </w:r>
      <w:r>
        <w:rPr>
          <w:sz w:val="20"/>
          <w:szCs w:val="20"/>
        </w:rPr>
        <w:t>Open Tender Inquiries (OTI) — domestic open tender previously floated; no bids received / local bidders failed technical criteria</w:t>
      </w:r>
    </w:p>
    <w:p>
      <w:pPr>
        <w:pStyle w:val="Normal"/>
        <w:spacing w:before="0" w:after="160"/>
        <w:rPr/>
      </w:pPr>
      <w:r>
        <w:rPr>
          <w:b/>
          <w:bCs/>
          <w:sz w:val="20"/>
          <w:szCs w:val="20"/>
        </w:rPr>
        <w:t xml:space="preserve">Domestic Tender Reference No. &amp; Date: </w:t>
      </w:r>
      <w:r>
        <w:rPr>
          <w:sz w:val="20"/>
          <w:szCs w:val="20"/>
        </w:rPr>
        <w:t>___________________________________</w:t>
      </w:r>
    </w:p>
    <w:p>
      <w:pPr>
        <w:pStyle w:val="Normal"/>
        <w:spacing w:before="0" w:after="160"/>
        <w:rPr/>
      </w:pPr>
      <w:r>
        <w:rPr>
          <w:sz w:val="22"/>
          <w:szCs w:val="22"/>
        </w:rPr>
        <w:t xml:space="preserve">☐  </w:t>
      </w:r>
      <w:r>
        <w:rPr>
          <w:sz w:val="20"/>
          <w:szCs w:val="20"/>
        </w:rPr>
        <w:t>DPIIT / Industrial Body Deliberations (FICCI, CII, I-STEM, etc.) — no Indian substitute identified</w:t>
      </w:r>
    </w:p>
    <w:p>
      <w:pPr>
        <w:pStyle w:val="Normal"/>
        <w:spacing w:before="0" w:after="160"/>
        <w:rPr/>
      </w:pPr>
      <w:r>
        <w:rPr>
          <w:b/>
          <w:bCs/>
          <w:sz w:val="20"/>
          <w:szCs w:val="20"/>
        </w:rPr>
        <w:t xml:space="preserve">Record of Consultation Reference: </w:t>
      </w:r>
      <w:r>
        <w:rPr>
          <w:sz w:val="20"/>
          <w:szCs w:val="20"/>
        </w:rPr>
        <w:t>_______________________________________________________</w:t>
      </w:r>
    </w:p>
    <w:p>
      <w:pPr>
        <w:pStyle w:val="Normal"/>
        <w:spacing w:before="0" w:after="160"/>
        <w:rPr/>
      </w:pPr>
      <w:r>
        <w:rPr>
          <w:b/>
          <w:bCs/>
          <w:sz w:val="20"/>
          <w:szCs w:val="20"/>
        </w:rPr>
        <w:t xml:space="preserve">Technical Members of TEC Suggested by HoD &amp; Indentor: </w:t>
      </w:r>
      <w:r>
        <w:rPr>
          <w:b w:val="false"/>
          <w:bCs w:val="false"/>
          <w:sz w:val="20"/>
          <w:szCs w:val="20"/>
        </w:rPr>
        <w:t>_</w:t>
      </w:r>
      <w:r>
        <w:rPr>
          <w:sz w:val="20"/>
          <w:szCs w:val="20"/>
        </w:rPr>
        <w:t>____________________________________________________</w:t>
      </w:r>
    </w:p>
    <w:tbl>
      <w:tblPr>
        <w:tblW w:w="5000" w:type="pct"/>
        <w:jc w:val="left"/>
        <w:tblInd w:w="100" w:type="dxa"/>
        <w:tblLayout w:type="fixed"/>
        <w:tblCellMar>
          <w:top w:w="60" w:type="dxa"/>
          <w:left w:w="100" w:type="dxa"/>
          <w:bottom w:w="60" w:type="dxa"/>
          <w:right w:w="100" w:type="dxa"/>
        </w:tblCellMar>
      </w:tblPr>
      <w:tblGrid>
        <w:gridCol w:w="2833"/>
        <w:gridCol w:w="2837"/>
        <w:gridCol w:w="2834"/>
        <w:gridCol w:w="1961"/>
      </w:tblGrid>
      <w:tr>
        <w:trPr>
          <w:tblHeader w:val="true"/>
        </w:trPr>
        <w:tc>
          <w:tcPr>
            <w:tcW w:w="2833"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Name</w:t>
            </w:r>
          </w:p>
        </w:tc>
        <w:tc>
          <w:tcPr>
            <w:tcW w:w="2837"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Role</w:t>
            </w:r>
          </w:p>
        </w:tc>
        <w:tc>
          <w:tcPr>
            <w:tcW w:w="2834"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Signature</w:t>
            </w:r>
          </w:p>
        </w:tc>
        <w:tc>
          <w:tcPr>
            <w:tcW w:w="196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Date</w:t>
            </w:r>
          </w:p>
        </w:tc>
      </w:tr>
      <w:tr>
        <w:trPr/>
        <w:tc>
          <w:tcPr>
            <w:tcW w:w="2833"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837"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Indentor / User</w:t>
            </w:r>
          </w:p>
        </w:tc>
        <w:tc>
          <w:tcPr>
            <w:tcW w:w="28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2833"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837"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Head of Division (HoD)</w:t>
            </w:r>
          </w:p>
        </w:tc>
        <w:tc>
          <w:tcPr>
            <w:tcW w:w="28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2833" w:type="dxa"/>
            <w:tcBorders>
              <w:left w:val="single" w:sz="4" w:space="0" w:color="999999"/>
              <w:bottom w:val="single" w:sz="4" w:space="0" w:color="999999"/>
              <w:right w:val="single" w:sz="4" w:space="0" w:color="999999"/>
            </w:tcBorders>
            <w:vAlign w:val="center"/>
          </w:tcPr>
          <w:p>
            <w:pPr>
              <w:pStyle w:val="Normal"/>
              <w:rPr/>
            </w:pPr>
            <w:r>
              <w:rPr/>
            </w:r>
          </w:p>
        </w:tc>
        <w:tc>
          <w:tcPr>
            <w:tcW w:w="2837" w:type="dxa"/>
            <w:tcBorders>
              <w:left w:val="single" w:sz="4" w:space="0" w:color="999999"/>
              <w:bottom w:val="single" w:sz="4" w:space="0" w:color="999999"/>
              <w:right w:val="single" w:sz="4" w:space="0" w:color="999999"/>
            </w:tcBorders>
            <w:vAlign w:val="center"/>
          </w:tcPr>
          <w:p>
            <w:pPr>
              <w:pStyle w:val="Normal"/>
              <w:rPr/>
            </w:pPr>
            <w:r>
              <w:rPr/>
              <w:t>Technical Member 1</w:t>
            </w:r>
          </w:p>
        </w:tc>
        <w:tc>
          <w:tcPr>
            <w:tcW w:w="2834" w:type="dxa"/>
            <w:tcBorders>
              <w:left w:val="single" w:sz="4" w:space="0" w:color="999999"/>
              <w:bottom w:val="single" w:sz="4" w:space="0" w:color="999999"/>
              <w:right w:val="single" w:sz="4" w:space="0" w:color="999999"/>
            </w:tcBorders>
            <w:vAlign w:val="center"/>
          </w:tcPr>
          <w:p>
            <w:pPr>
              <w:pStyle w:val="Normal"/>
              <w:rPr/>
            </w:pPr>
            <w:r>
              <w:rPr/>
            </w:r>
          </w:p>
        </w:tc>
        <w:tc>
          <w:tcPr>
            <w:tcW w:w="1961" w:type="dxa"/>
            <w:tcBorders>
              <w:left w:val="single" w:sz="4" w:space="0" w:color="999999"/>
              <w:bottom w:val="single" w:sz="4" w:space="0" w:color="999999"/>
              <w:right w:val="single" w:sz="4" w:space="0" w:color="999999"/>
            </w:tcBorders>
            <w:vAlign w:val="center"/>
          </w:tcPr>
          <w:p>
            <w:pPr>
              <w:pStyle w:val="Normal"/>
              <w:rPr/>
            </w:pPr>
            <w:r>
              <w:rPr/>
            </w:r>
          </w:p>
        </w:tc>
      </w:tr>
      <w:tr>
        <w:trPr/>
        <w:tc>
          <w:tcPr>
            <w:tcW w:w="2833" w:type="dxa"/>
            <w:tcBorders>
              <w:left w:val="single" w:sz="4" w:space="0" w:color="999999"/>
              <w:bottom w:val="single" w:sz="4" w:space="0" w:color="999999"/>
              <w:right w:val="single" w:sz="4" w:space="0" w:color="999999"/>
            </w:tcBorders>
            <w:vAlign w:val="center"/>
          </w:tcPr>
          <w:p>
            <w:pPr>
              <w:pStyle w:val="Normal"/>
              <w:rPr/>
            </w:pPr>
            <w:r>
              <w:rPr/>
            </w:r>
          </w:p>
        </w:tc>
        <w:tc>
          <w:tcPr>
            <w:tcW w:w="2837" w:type="dxa"/>
            <w:tcBorders>
              <w:left w:val="single" w:sz="4" w:space="0" w:color="999999"/>
              <w:bottom w:val="single" w:sz="4" w:space="0" w:color="999999"/>
              <w:right w:val="single" w:sz="4" w:space="0" w:color="999999"/>
            </w:tcBorders>
            <w:vAlign w:val="center"/>
          </w:tcPr>
          <w:p>
            <w:pPr>
              <w:pStyle w:val="Normal"/>
              <w:rPr/>
            </w:pPr>
            <w:r>
              <w:rPr/>
              <w:t>Technical Member 2</w:t>
            </w:r>
          </w:p>
        </w:tc>
        <w:tc>
          <w:tcPr>
            <w:tcW w:w="2834" w:type="dxa"/>
            <w:tcBorders>
              <w:left w:val="single" w:sz="4" w:space="0" w:color="999999"/>
              <w:bottom w:val="single" w:sz="4" w:space="0" w:color="999999"/>
              <w:right w:val="single" w:sz="4" w:space="0" w:color="999999"/>
            </w:tcBorders>
            <w:vAlign w:val="center"/>
          </w:tcPr>
          <w:p>
            <w:pPr>
              <w:pStyle w:val="Normal"/>
              <w:rPr/>
            </w:pPr>
            <w:r>
              <w:rPr/>
            </w:r>
          </w:p>
        </w:tc>
        <w:tc>
          <w:tcPr>
            <w:tcW w:w="1961" w:type="dxa"/>
            <w:tcBorders>
              <w:left w:val="single" w:sz="4" w:space="0" w:color="999999"/>
              <w:bottom w:val="single" w:sz="4" w:space="0" w:color="999999"/>
              <w:right w:val="single" w:sz="4" w:space="0" w:color="999999"/>
            </w:tcBorders>
            <w:vAlign w:val="center"/>
          </w:tcPr>
          <w:p>
            <w:pPr>
              <w:pStyle w:val="Normal"/>
              <w:rPr/>
            </w:pPr>
            <w:r>
              <w:rPr/>
            </w:r>
          </w:p>
        </w:tc>
      </w:tr>
      <w:tr>
        <w:trPr/>
        <w:tc>
          <w:tcPr>
            <w:tcW w:w="2833" w:type="dxa"/>
            <w:tcBorders>
              <w:left w:val="single" w:sz="4" w:space="0" w:color="999999"/>
              <w:bottom w:val="single" w:sz="4" w:space="0" w:color="999999"/>
              <w:right w:val="single" w:sz="4" w:space="0" w:color="999999"/>
            </w:tcBorders>
            <w:vAlign w:val="center"/>
          </w:tcPr>
          <w:p>
            <w:pPr>
              <w:pStyle w:val="Normal"/>
              <w:rPr/>
            </w:pPr>
            <w:r>
              <w:rPr/>
            </w:r>
          </w:p>
        </w:tc>
        <w:tc>
          <w:tcPr>
            <w:tcW w:w="2837" w:type="dxa"/>
            <w:tcBorders>
              <w:left w:val="single" w:sz="4" w:space="0" w:color="999999"/>
              <w:bottom w:val="single" w:sz="4" w:space="0" w:color="999999"/>
              <w:right w:val="single" w:sz="4" w:space="0" w:color="999999"/>
            </w:tcBorders>
            <w:vAlign w:val="center"/>
          </w:tcPr>
          <w:p>
            <w:pPr>
              <w:pStyle w:val="Normal"/>
              <w:rPr/>
            </w:pPr>
            <w:r>
              <w:rPr/>
              <w:t>External Member (if applicable)</w:t>
            </w:r>
          </w:p>
        </w:tc>
        <w:tc>
          <w:tcPr>
            <w:tcW w:w="2834" w:type="dxa"/>
            <w:tcBorders>
              <w:left w:val="single" w:sz="4" w:space="0" w:color="999999"/>
              <w:bottom w:val="single" w:sz="4" w:space="0" w:color="999999"/>
              <w:right w:val="single" w:sz="4" w:space="0" w:color="999999"/>
            </w:tcBorders>
            <w:vAlign w:val="center"/>
          </w:tcPr>
          <w:p>
            <w:pPr>
              <w:pStyle w:val="Normal"/>
              <w:rPr/>
            </w:pPr>
            <w:r>
              <w:rPr/>
            </w:r>
          </w:p>
        </w:tc>
        <w:tc>
          <w:tcPr>
            <w:tcW w:w="1961" w:type="dxa"/>
            <w:tcBorders>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3.  Institutional Assessment &amp; Endorsement (PWC)</w:t>
      </w:r>
    </w:p>
    <w:p>
      <w:pPr>
        <w:pStyle w:val="Normal"/>
        <w:spacing w:before="0" w:after="100"/>
        <w:rPr/>
      </w:pPr>
      <w:r>
        <w:rPr>
          <w:i/>
          <w:iCs/>
          <w:color w:val="555555"/>
          <w:sz w:val="18"/>
          <w:szCs w:val="18"/>
        </w:rPr>
        <w:t>Step 2 — Institutional Assessment &amp; Endorsement</w:t>
      </w:r>
    </w:p>
    <w:p>
      <w:pPr>
        <w:pStyle w:val="Normal"/>
        <w:spacing w:before="0" w:after="160"/>
        <w:rPr/>
      </w:pPr>
      <w:r>
        <w:rPr>
          <w:i/>
          <w:iCs/>
          <w:color w:val="777777"/>
          <w:sz w:val="18"/>
          <w:szCs w:val="18"/>
        </w:rPr>
        <w:t>PWC scrutinizes the technical specifications and the GTE Justification Note, confirming they do not deliberately exclude Indian vendors with similar or adaptable setups, and endorses that a GTE is genuinely required.</w:t>
      </w:r>
    </w:p>
    <w:p>
      <w:pPr>
        <w:pStyle w:val="Normal"/>
        <w:spacing w:before="0" w:after="160"/>
        <w:rPr/>
      </w:pPr>
      <w:r>
        <w:rPr>
          <w:sz w:val="22"/>
          <w:szCs w:val="22"/>
        </w:rPr>
        <w:t xml:space="preserve">☐  </w:t>
      </w:r>
      <w:r>
        <w:rPr>
          <w:sz w:val="20"/>
          <w:szCs w:val="20"/>
        </w:rPr>
        <w:t>Specifications confirmed not deliberately exclusionary of Indian vendors</w:t>
      </w:r>
    </w:p>
    <w:p>
      <w:pPr>
        <w:pStyle w:val="Normal"/>
        <w:spacing w:before="0" w:after="160"/>
        <w:rPr/>
      </w:pPr>
      <w:r>
        <w:rPr>
          <w:sz w:val="22"/>
          <w:szCs w:val="22"/>
        </w:rPr>
        <w:t xml:space="preserve">☐  </w:t>
      </w:r>
      <w:r>
        <w:rPr>
          <w:sz w:val="20"/>
          <w:szCs w:val="20"/>
        </w:rPr>
        <w:t>GTE genuinely required for the scientific research — endorsed</w:t>
      </w:r>
    </w:p>
    <w:tbl>
      <w:tblPr>
        <w:tblW w:w="5000" w:type="pct"/>
        <w:jc w:val="left"/>
        <w:tblInd w:w="100" w:type="dxa"/>
        <w:tblLayout w:type="fixed"/>
        <w:tblCellMar>
          <w:top w:w="60" w:type="dxa"/>
          <w:left w:w="100" w:type="dxa"/>
          <w:bottom w:w="60" w:type="dxa"/>
          <w:right w:w="100" w:type="dxa"/>
        </w:tblCellMar>
      </w:tblPr>
      <w:tblGrid>
        <w:gridCol w:w="2833"/>
        <w:gridCol w:w="2837"/>
        <w:gridCol w:w="2834"/>
        <w:gridCol w:w="1961"/>
      </w:tblGrid>
      <w:tr>
        <w:trPr>
          <w:tblHeader w:val="true"/>
        </w:trPr>
        <w:tc>
          <w:tcPr>
            <w:tcW w:w="2833"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Name</w:t>
            </w:r>
          </w:p>
        </w:tc>
        <w:tc>
          <w:tcPr>
            <w:tcW w:w="2837"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Role</w:t>
            </w:r>
          </w:p>
        </w:tc>
        <w:tc>
          <w:tcPr>
            <w:tcW w:w="2834"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Signature</w:t>
            </w:r>
          </w:p>
        </w:tc>
        <w:tc>
          <w:tcPr>
            <w:tcW w:w="196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Date</w:t>
            </w:r>
          </w:p>
        </w:tc>
      </w:tr>
      <w:tr>
        <w:trPr/>
        <w:tc>
          <w:tcPr>
            <w:tcW w:w="2833" w:type="dxa"/>
            <w:tcBorders>
              <w:top w:val="single" w:sz="4" w:space="0" w:color="999999"/>
              <w:left w:val="single" w:sz="4" w:space="0" w:color="999999"/>
              <w:bottom w:val="single" w:sz="4" w:space="0" w:color="999999"/>
              <w:right w:val="single" w:sz="4" w:space="0" w:color="999999"/>
            </w:tcBorders>
            <w:vAlign w:val="center"/>
          </w:tcPr>
          <w:p>
            <w:pPr>
              <w:pStyle w:val="Normal"/>
              <w:rPr>
                <w:i/>
                <w:i/>
                <w:iCs/>
                <w:color w:themeColor="light1" w:themeShade="a6" w:val="A6A6A6"/>
              </w:rPr>
            </w:pPr>
            <w:r>
              <w:rPr>
                <w:i/>
                <w:iCs/>
                <w:color w:themeColor="light1" w:themeShade="a6" w:val="A6A6A6"/>
              </w:rPr>
              <w:t>(Attach MoM of PWC)</w:t>
            </w:r>
          </w:p>
        </w:tc>
        <w:tc>
          <w:tcPr>
            <w:tcW w:w="2837"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PWC — Members</w:t>
            </w:r>
          </w:p>
        </w:tc>
        <w:tc>
          <w:tcPr>
            <w:tcW w:w="28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4.  Budget &amp; Planning Committee (BPC) — Budget Certification &amp; Currency Earmarking</w:t>
      </w:r>
    </w:p>
    <w:p>
      <w:pPr>
        <w:pStyle w:val="Normal"/>
        <w:spacing w:before="0" w:after="100"/>
        <w:rPr/>
      </w:pPr>
      <w:r>
        <w:rPr>
          <w:i/>
          <w:iCs/>
          <w:color w:val="555555"/>
          <w:sz w:val="18"/>
          <w:szCs w:val="18"/>
        </w:rPr>
        <w:t>Step 3 — Budget Certification &amp; Currency Earmarking</w:t>
      </w:r>
    </w:p>
    <w:p>
      <w:pPr>
        <w:pStyle w:val="Normal"/>
        <w:spacing w:before="0" w:after="160"/>
        <w:rPr/>
      </w:pPr>
      <w:r>
        <w:rPr>
          <w:b/>
          <w:bCs/>
          <w:sz w:val="20"/>
          <w:szCs w:val="20"/>
        </w:rPr>
        <w:t xml:space="preserve">Estimated Cost in Foreign Currency: </w:t>
      </w:r>
      <w:r>
        <w:rPr>
          <w:sz w:val="20"/>
          <w:szCs w:val="20"/>
        </w:rPr>
        <w:t>_______________________________________________________</w:t>
      </w:r>
    </w:p>
    <w:p>
      <w:pPr>
        <w:pStyle w:val="Normal"/>
        <w:spacing w:before="0" w:after="160"/>
        <w:rPr/>
      </w:pPr>
      <w:r>
        <w:rPr>
          <w:b/>
          <w:bCs/>
          <w:sz w:val="20"/>
          <w:szCs w:val="20"/>
        </w:rPr>
        <w:t xml:space="preserve">RBI Reference Rate Applied (as on date): </w:t>
      </w:r>
      <w:r>
        <w:rPr>
          <w:sz w:val="20"/>
          <w:szCs w:val="20"/>
        </w:rPr>
        <w:t>_______________________________________________________</w:t>
      </w:r>
    </w:p>
    <w:p>
      <w:pPr>
        <w:pStyle w:val="Normal"/>
        <w:spacing w:before="0" w:after="160"/>
        <w:rPr/>
      </w:pPr>
      <w:r>
        <w:rPr>
          <w:b/>
          <w:bCs/>
          <w:sz w:val="20"/>
          <w:szCs w:val="20"/>
        </w:rPr>
        <w:t xml:space="preserve">INR Equivalent (before buffer): </w:t>
      </w:r>
      <w:r>
        <w:rPr>
          <w:sz w:val="20"/>
          <w:szCs w:val="20"/>
        </w:rPr>
        <w:t>_______________________________________________________</w:t>
      </w:r>
    </w:p>
    <w:p>
      <w:pPr>
        <w:pStyle w:val="Normal"/>
        <w:spacing w:before="0" w:after="160"/>
        <w:rPr/>
      </w:pPr>
      <w:r>
        <w:rPr>
          <w:b/>
          <w:bCs/>
          <w:sz w:val="20"/>
          <w:szCs w:val="20"/>
        </w:rPr>
        <w:t xml:space="preserve">Exchange-Rate Fluctuation Buffer (%) &amp; Amount (₹): </w:t>
      </w:r>
      <w:r>
        <w:rPr>
          <w:sz w:val="20"/>
          <w:szCs w:val="20"/>
        </w:rPr>
        <w:t>_______________________________________________________</w:t>
      </w:r>
    </w:p>
    <w:p>
      <w:pPr>
        <w:pStyle w:val="Normal"/>
        <w:spacing w:before="0" w:after="160"/>
        <w:rPr/>
      </w:pPr>
      <w:r>
        <w:rPr>
          <w:b/>
          <w:bCs/>
          <w:sz w:val="20"/>
          <w:szCs w:val="20"/>
        </w:rPr>
        <w:t>Custom Duty, Insurance, Freight, GST, etc. (approx 40% buffer):</w:t>
      </w:r>
      <w:r>
        <w:rPr>
          <w:sz w:val="20"/>
          <w:szCs w:val="20"/>
        </w:rPr>
        <w:t xml:space="preserve"> ______________________________________________</w:t>
      </w:r>
    </w:p>
    <w:p>
      <w:pPr>
        <w:pStyle w:val="Normal"/>
        <w:spacing w:before="0" w:after="160"/>
        <w:rPr/>
      </w:pPr>
      <w:r>
        <w:rPr>
          <w:b/>
          <w:bCs/>
          <w:sz w:val="20"/>
          <w:szCs w:val="20"/>
        </w:rPr>
        <w:t xml:space="preserve">Total Funds Locked (₹ including buffer): </w:t>
      </w:r>
      <w:r>
        <w:rPr>
          <w:sz w:val="20"/>
          <w:szCs w:val="20"/>
        </w:rPr>
        <w:t>_______________________________________________________</w:t>
      </w:r>
    </w:p>
    <w:p>
      <w:pPr>
        <w:pStyle w:val="Normal"/>
        <w:spacing w:before="0" w:after="160"/>
        <w:rPr/>
      </w:pPr>
      <w:r>
        <w:rPr>
          <w:b/>
          <w:bCs/>
          <w:sz w:val="20"/>
          <w:szCs w:val="20"/>
        </w:rPr>
        <w:t xml:space="preserve">Capital Grant Budget Head: </w:t>
      </w:r>
      <w:r>
        <w:rPr>
          <w:sz w:val="20"/>
          <w:szCs w:val="20"/>
        </w:rPr>
        <w:t>_______________________________________________________</w:t>
      </w:r>
    </w:p>
    <w:tbl>
      <w:tblPr>
        <w:tblW w:w="5000" w:type="pct"/>
        <w:jc w:val="left"/>
        <w:tblInd w:w="100" w:type="dxa"/>
        <w:tblLayout w:type="fixed"/>
        <w:tblCellMar>
          <w:top w:w="60" w:type="dxa"/>
          <w:left w:w="100" w:type="dxa"/>
          <w:bottom w:w="60" w:type="dxa"/>
          <w:right w:w="100" w:type="dxa"/>
        </w:tblCellMar>
      </w:tblPr>
      <w:tblGrid>
        <w:gridCol w:w="2833"/>
        <w:gridCol w:w="2837"/>
        <w:gridCol w:w="2834"/>
        <w:gridCol w:w="1961"/>
      </w:tblGrid>
      <w:tr>
        <w:trPr>
          <w:tblHeader w:val="true"/>
        </w:trPr>
        <w:tc>
          <w:tcPr>
            <w:tcW w:w="2833"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Name</w:t>
            </w:r>
          </w:p>
        </w:tc>
        <w:tc>
          <w:tcPr>
            <w:tcW w:w="2837"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Role</w:t>
            </w:r>
          </w:p>
        </w:tc>
        <w:tc>
          <w:tcPr>
            <w:tcW w:w="2834"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Signature</w:t>
            </w:r>
          </w:p>
        </w:tc>
        <w:tc>
          <w:tcPr>
            <w:tcW w:w="196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Date</w:t>
            </w:r>
          </w:p>
        </w:tc>
      </w:tr>
      <w:tr>
        <w:trPr/>
        <w:tc>
          <w:tcPr>
            <w:tcW w:w="2833" w:type="dxa"/>
            <w:tcBorders>
              <w:top w:val="single" w:sz="4" w:space="0" w:color="999999"/>
              <w:left w:val="single" w:sz="4" w:space="0" w:color="999999"/>
              <w:bottom w:val="single" w:sz="4" w:space="0" w:color="999999"/>
              <w:right w:val="single" w:sz="4" w:space="0" w:color="999999"/>
            </w:tcBorders>
            <w:vAlign w:val="center"/>
          </w:tcPr>
          <w:p>
            <w:pPr>
              <w:pStyle w:val="Normal"/>
              <w:rPr>
                <w:i/>
                <w:i/>
                <w:iCs/>
                <w:color w:themeColor="light1" w:themeShade="a6" w:val="A6A6A6"/>
              </w:rPr>
            </w:pPr>
            <w:r>
              <w:rPr>
                <w:i/>
                <w:iCs/>
                <w:color w:themeColor="light1" w:themeShade="a6" w:val="A6A6A6"/>
              </w:rPr>
              <w:t>(Attach MoM of BPC)</w:t>
            </w:r>
          </w:p>
        </w:tc>
        <w:tc>
          <w:tcPr>
            <w:tcW w:w="2837"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BPC — Members</w:t>
            </w:r>
          </w:p>
        </w:tc>
        <w:tc>
          <w:tcPr>
            <w:tcW w:w="28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5.  Statutory Ministry Exemption / Cabinet Approval</w:t>
      </w:r>
    </w:p>
    <w:p>
      <w:pPr>
        <w:pStyle w:val="Normal"/>
        <w:spacing w:before="0" w:after="100"/>
        <w:rPr/>
      </w:pPr>
      <w:r>
        <w:rPr>
          <w:i/>
          <w:iCs/>
          <w:color w:val="555555"/>
          <w:sz w:val="18"/>
          <w:szCs w:val="18"/>
        </w:rPr>
        <w:t>Step 4 — Statutory Ministry Exemption / Cabinet Approval (Purchase Section; to be completed before CFA approves publication of the GTE)</w:t>
      </w:r>
    </w:p>
    <w:p>
      <w:pPr>
        <w:pStyle w:val="Normal"/>
        <w:spacing w:before="0" w:after="160"/>
        <w:rPr/>
      </w:pPr>
      <w:r>
        <w:rPr>
          <w:sz w:val="22"/>
          <w:szCs w:val="22"/>
        </w:rPr>
        <w:t xml:space="preserve">☐  </w:t>
      </w:r>
      <w:r>
        <w:rPr>
          <w:sz w:val="20"/>
          <w:szCs w:val="20"/>
        </w:rPr>
        <w:t xml:space="preserve">Item falls under a pre-exempted category (e.g., specialized research equipment / spares)        </w:t>
      </w:r>
      <w:r>
        <w:rPr>
          <w:sz w:val="22"/>
          <w:szCs w:val="22"/>
        </w:rPr>
        <w:t xml:space="preserve">☐  </w:t>
      </w:r>
      <w:r>
        <w:rPr>
          <w:sz w:val="20"/>
          <w:szCs w:val="20"/>
        </w:rPr>
        <w:t>Requires external Cabinet Secretariat clearance</w:t>
      </w:r>
    </w:p>
    <w:p>
      <w:pPr>
        <w:pStyle w:val="Normal"/>
        <w:spacing w:before="0" w:after="160"/>
        <w:rPr/>
      </w:pPr>
      <w:r>
        <w:rPr>
          <w:b/>
          <w:bCs/>
          <w:sz w:val="20"/>
          <w:szCs w:val="20"/>
        </w:rPr>
        <w:t xml:space="preserve">Exemption / Clearance Reference No. &amp; Date: </w:t>
      </w:r>
      <w:r>
        <w:rPr>
          <w:sz w:val="20"/>
          <w:szCs w:val="20"/>
        </w:rPr>
        <w:t>_______________________________________________________</w:t>
      </w:r>
    </w:p>
    <w:tbl>
      <w:tblPr>
        <w:tblW w:w="5000" w:type="pct"/>
        <w:jc w:val="left"/>
        <w:tblInd w:w="100" w:type="dxa"/>
        <w:tblLayout w:type="fixed"/>
        <w:tblCellMar>
          <w:top w:w="60" w:type="dxa"/>
          <w:left w:w="100" w:type="dxa"/>
          <w:bottom w:w="60" w:type="dxa"/>
          <w:right w:w="100" w:type="dxa"/>
        </w:tblCellMar>
      </w:tblPr>
      <w:tblGrid>
        <w:gridCol w:w="2833"/>
        <w:gridCol w:w="3168"/>
        <w:gridCol w:w="2658"/>
        <w:gridCol w:w="1806"/>
      </w:tblGrid>
      <w:tr>
        <w:trPr>
          <w:tblHeader w:val="true"/>
        </w:trPr>
        <w:tc>
          <w:tcPr>
            <w:tcW w:w="2833"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Name</w:t>
            </w:r>
          </w:p>
        </w:tc>
        <w:tc>
          <w:tcPr>
            <w:tcW w:w="3168"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Role</w:t>
            </w:r>
          </w:p>
        </w:tc>
        <w:tc>
          <w:tcPr>
            <w:tcW w:w="2658"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Signature</w:t>
            </w:r>
          </w:p>
        </w:tc>
        <w:tc>
          <w:tcPr>
            <w:tcW w:w="1806"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Date</w:t>
            </w:r>
          </w:p>
        </w:tc>
      </w:tr>
      <w:tr>
        <w:trPr/>
        <w:tc>
          <w:tcPr>
            <w:tcW w:w="2833"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3168"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Purchase Section — Verifying Officer</w:t>
            </w:r>
          </w:p>
        </w:tc>
        <w:tc>
          <w:tcPr>
            <w:tcW w:w="2658"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80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6.  Approval Gate 1 — Publication of Global Tender Enquiry</w:t>
      </w:r>
    </w:p>
    <w:p>
      <w:pPr>
        <w:pStyle w:val="Normal"/>
        <w:spacing w:before="0" w:after="160"/>
        <w:rPr/>
      </w:pPr>
      <w:r>
        <w:rPr>
          <w:i/>
          <w:iCs/>
          <w:color w:val="777777"/>
          <w:sz w:val="18"/>
          <w:szCs w:val="18"/>
        </w:rPr>
        <w:t>CFA approves publication of the GTE upon confirmation of the Ministry exemption / Cabinet clearance position.</w:t>
      </w:r>
    </w:p>
    <w:tbl>
      <w:tblPr>
        <w:tblW w:w="5000" w:type="pct"/>
        <w:jc w:val="left"/>
        <w:tblInd w:w="100" w:type="dxa"/>
        <w:tblLayout w:type="fixed"/>
        <w:tblCellMar>
          <w:top w:w="60" w:type="dxa"/>
          <w:left w:w="100" w:type="dxa"/>
          <w:bottom w:w="60" w:type="dxa"/>
          <w:right w:w="100" w:type="dxa"/>
        </w:tblCellMar>
      </w:tblPr>
      <w:tblGrid>
        <w:gridCol w:w="5234"/>
        <w:gridCol w:w="5231"/>
      </w:tblGrid>
      <w:tr>
        <w:trPr/>
        <w:tc>
          <w:tcPr>
            <w:tcW w:w="10465" w:type="dxa"/>
            <w:gridSpan w:val="2"/>
            <w:tcBorders>
              <w:top w:val="single" w:sz="4" w:space="0" w:color="999999"/>
              <w:left w:val="single" w:sz="4" w:space="0" w:color="999999"/>
              <w:bottom w:val="single" w:sz="4" w:space="0" w:color="999999"/>
              <w:right w:val="single" w:sz="4" w:space="0" w:color="999999"/>
            </w:tcBorders>
            <w:shd w:fill="FFFFFF" w:val="clear"/>
          </w:tcPr>
          <w:p>
            <w:pPr>
              <w:pStyle w:val="Normal"/>
              <w:rPr>
                <w:sz w:val="20"/>
                <w:szCs w:val="20"/>
              </w:rPr>
            </w:pPr>
            <w:r>
              <w:rPr>
                <w:b w:val="false"/>
                <w:bCs w:val="false"/>
                <w:sz w:val="20"/>
                <w:szCs w:val="20"/>
              </w:rPr>
              <w:t>Registrar:                              ☐  Recommended                 ☐  Not Recommended / Returned</w:t>
            </w:r>
          </w:p>
        </w:tc>
      </w:tr>
      <w:tr>
        <w:trPr/>
        <w:tc>
          <w:tcPr>
            <w:tcW w:w="10465" w:type="dxa"/>
            <w:gridSpan w:val="2"/>
            <w:tcBorders>
              <w:left w:val="single" w:sz="4" w:space="0" w:color="999999"/>
              <w:bottom w:val="single" w:sz="4" w:space="0" w:color="999999"/>
              <w:right w:val="single" w:sz="4" w:space="0" w:color="999999"/>
            </w:tcBorders>
            <w:shd w:fill="FFFFFF" w:val="clear"/>
          </w:tcPr>
          <w:p>
            <w:pPr>
              <w:pStyle w:val="Normal"/>
              <w:rPr>
                <w:sz w:val="20"/>
                <w:szCs w:val="20"/>
              </w:rPr>
            </w:pPr>
            <w:r>
              <w:rPr>
                <w:sz w:val="20"/>
                <w:szCs w:val="20"/>
              </w:rPr>
              <w:t>Signature &amp; Date:</w:t>
            </w:r>
          </w:p>
        </w:tc>
      </w:tr>
      <w:tr>
        <w:trPr/>
        <w:tc>
          <w:tcPr>
            <w:tcW w:w="10465" w:type="dxa"/>
            <w:gridSpan w:val="2"/>
            <w:tcBorders>
              <w:left w:val="single" w:sz="4" w:space="0" w:color="999999"/>
              <w:bottom w:val="single" w:sz="4" w:space="0" w:color="999999"/>
              <w:right w:val="single" w:sz="4" w:space="0" w:color="999999"/>
            </w:tcBorders>
            <w:shd w:fill="BBE6FE" w:val="clear"/>
          </w:tcPr>
          <w:p>
            <w:pPr>
              <w:pStyle w:val="Normal"/>
              <w:rPr/>
            </w:pPr>
            <w:r>
              <w:rPr>
                <w:b/>
                <w:bCs/>
                <w:sz w:val="19"/>
                <w:szCs w:val="19"/>
              </w:rPr>
              <w:t>Decision of Competent Financial Authority (CFA) — Publication of Global Tender Enquiry</w:t>
            </w:r>
          </w:p>
        </w:tc>
      </w:tr>
      <w:tr>
        <w:trPr/>
        <w:tc>
          <w:tcPr>
            <w:tcW w:w="10465" w:type="dxa"/>
            <w:gridSpan w:val="2"/>
            <w:tcBorders>
              <w:top w:val="single" w:sz="4" w:space="0" w:color="999999"/>
              <w:left w:val="single" w:sz="4" w:space="0" w:color="999999"/>
              <w:bottom w:val="single" w:sz="4" w:space="0" w:color="999999"/>
              <w:right w:val="single" w:sz="4" w:space="0" w:color="999999"/>
            </w:tcBorders>
            <w:tcMar>
              <w:top w:w="100" w:type="dxa"/>
              <w:bottom w:w="100" w:type="dxa"/>
            </w:tcMar>
          </w:tcPr>
          <w:p>
            <w:pPr>
              <w:pStyle w:val="Normal"/>
              <w:spacing w:before="0" w:after="160"/>
              <w:rPr/>
            </w:pPr>
            <w:r>
              <w:rPr>
                <w:sz w:val="22"/>
                <w:szCs w:val="22"/>
              </w:rPr>
              <w:t xml:space="preserve">☐  </w:t>
            </w:r>
            <w:r>
              <w:rPr>
                <w:sz w:val="20"/>
                <w:szCs w:val="20"/>
              </w:rPr>
              <w:t xml:space="preserve">Approved        </w:t>
            </w:r>
            <w:r>
              <w:rPr>
                <w:sz w:val="22"/>
                <w:szCs w:val="22"/>
              </w:rPr>
              <w:t xml:space="preserve">☐  </w:t>
            </w:r>
            <w:r>
              <w:rPr>
                <w:sz w:val="20"/>
                <w:szCs w:val="20"/>
              </w:rPr>
              <w:t xml:space="preserve">Approved with Modifications        </w:t>
            </w:r>
            <w:r>
              <w:rPr>
                <w:sz w:val="22"/>
                <w:szCs w:val="22"/>
              </w:rPr>
              <w:t xml:space="preserve">☐  </w:t>
            </w:r>
            <w:r>
              <w:rPr>
                <w:sz w:val="20"/>
                <w:szCs w:val="20"/>
              </w:rPr>
              <w:t>Not Approved / Returned</w:t>
            </w:r>
          </w:p>
          <w:p>
            <w:pPr>
              <w:pStyle w:val="Normal"/>
              <w:spacing w:before="0" w:after="100"/>
              <w:rPr/>
            </w:pPr>
            <w:r>
              <w:rPr>
                <w:b/>
                <w:bCs/>
                <w:sz w:val="19"/>
                <w:szCs w:val="19"/>
              </w:rPr>
              <w:t>Remarks / Modifications (if any):</w:t>
            </w:r>
          </w:p>
          <w:p>
            <w:pPr>
              <w:pStyle w:val="Normal"/>
              <w:pBdr>
                <w:bottom w:val="single" w:sz="4" w:space="0" w:color="999999"/>
              </w:pBdr>
              <w:spacing w:before="0" w:after="160"/>
              <w:rPr>
                <w:sz w:val="19"/>
                <w:szCs w:val="19"/>
              </w:rPr>
            </w:pPr>
            <w:r>
              <w:rPr>
                <w:sz w:val="19"/>
                <w:szCs w:val="19"/>
              </w:rPr>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Designation of CFA (DIRECTOR):</w:t>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Signature with Seal &amp; Date:</w:t>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7.  Global NIT Publication</w:t>
      </w:r>
    </w:p>
    <w:p>
      <w:pPr>
        <w:pStyle w:val="Normal"/>
        <w:spacing w:before="0" w:after="100"/>
        <w:rPr/>
      </w:pPr>
      <w:r>
        <w:rPr>
          <w:i/>
          <w:iCs/>
          <w:color w:val="555555"/>
          <w:sz w:val="18"/>
          <w:szCs w:val="18"/>
        </w:rPr>
        <w:t>Step 5 — Global NIT Publication</w:t>
      </w:r>
    </w:p>
    <w:p>
      <w:pPr>
        <w:pStyle w:val="Normal"/>
        <w:spacing w:before="0" w:after="160"/>
        <w:rPr/>
      </w:pPr>
      <w:r>
        <w:rPr>
          <w:sz w:val="22"/>
          <w:szCs w:val="22"/>
        </w:rPr>
        <w:t xml:space="preserve">☐  </w:t>
      </w:r>
      <w:r>
        <w:rPr>
          <w:sz w:val="20"/>
          <w:szCs w:val="20"/>
        </w:rPr>
        <w:t xml:space="preserve">Published on Central Public Procurement Portal (CPPP)        </w:t>
      </w:r>
      <w:r>
        <w:rPr>
          <w:sz w:val="22"/>
          <w:szCs w:val="22"/>
        </w:rPr>
        <w:t xml:space="preserve">☐  </w:t>
      </w:r>
      <w:r>
        <w:rPr>
          <w:sz w:val="20"/>
          <w:szCs w:val="20"/>
        </w:rPr>
        <w:t>Published on Institute Website</w:t>
      </w:r>
    </w:p>
    <w:p>
      <w:pPr>
        <w:pStyle w:val="Normal"/>
        <w:spacing w:before="0" w:after="160"/>
        <w:rPr/>
      </w:pPr>
      <w:r>
        <w:rPr>
          <w:sz w:val="22"/>
          <w:szCs w:val="22"/>
        </w:rPr>
        <w:t xml:space="preserve">☐  </w:t>
      </w:r>
      <w:r>
        <w:rPr>
          <w:sz w:val="20"/>
          <w:szCs w:val="20"/>
        </w:rPr>
        <w:t>NIT formally communicated to Indian Embassies / High Commissions abroad</w:t>
      </w:r>
    </w:p>
    <w:p>
      <w:pPr>
        <w:pStyle w:val="Normal"/>
        <w:spacing w:before="0" w:after="160"/>
        <w:rPr/>
      </w:pPr>
      <w:r>
        <w:rPr>
          <w:b/>
          <w:bCs/>
          <w:sz w:val="20"/>
          <w:szCs w:val="20"/>
        </w:rPr>
        <w:t xml:space="preserve">Date of Publication: </w:t>
      </w:r>
      <w:r>
        <w:rPr>
          <w:sz w:val="20"/>
          <w:szCs w:val="20"/>
        </w:rPr>
        <w:t>_______________________________________________________</w:t>
      </w:r>
    </w:p>
    <w:p>
      <w:pPr>
        <w:pStyle w:val="Normal"/>
        <w:spacing w:before="0" w:after="160"/>
        <w:rPr/>
      </w:pPr>
      <w:r>
        <w:rPr>
          <w:b/>
          <w:bCs/>
          <w:sz w:val="20"/>
          <w:szCs w:val="20"/>
        </w:rPr>
        <w:t xml:space="preserve">Bid Submission Closing Date (minimum 4–6 weeks bidding window): </w:t>
      </w:r>
      <w:r>
        <w:rPr>
          <w:sz w:val="20"/>
          <w:szCs w:val="20"/>
        </w:rPr>
        <w:t>_____________________________________________</w:t>
      </w:r>
    </w:p>
    <w:p>
      <w:pPr>
        <w:pStyle w:val="Normal"/>
        <w:shd w:fill="0369A3" w:val="clear"/>
        <w:spacing w:before="300" w:after="120"/>
        <w:rPr/>
      </w:pPr>
      <w:r>
        <w:rPr>
          <w:b/>
          <w:bCs/>
          <w:color w:val="FFFFFF"/>
          <w:sz w:val="22"/>
          <w:szCs w:val="22"/>
        </w:rPr>
        <w:t xml:space="preserve">  </w:t>
      </w:r>
      <w:r>
        <w:rPr>
          <w:b/>
          <w:bCs/>
          <w:color w:val="FFFFFF"/>
          <w:sz w:val="22"/>
          <w:szCs w:val="22"/>
        </w:rPr>
        <w:t>8.  Two-Part Bid Opening &amp; Technical Evaluation</w:t>
      </w:r>
    </w:p>
    <w:p>
      <w:pPr>
        <w:pStyle w:val="Normal"/>
        <w:spacing w:before="0" w:after="100"/>
        <w:rPr/>
      </w:pPr>
      <w:r>
        <w:rPr>
          <w:i/>
          <w:iCs/>
          <w:color w:val="555555"/>
          <w:sz w:val="18"/>
          <w:szCs w:val="18"/>
        </w:rPr>
        <w:t>Step 6 — Two-Part Bid Opening &amp; Technical Evaluation</w:t>
      </w:r>
    </w:p>
    <w:p>
      <w:pPr>
        <w:pStyle w:val="Normal"/>
        <w:spacing w:before="0" w:after="160"/>
        <w:rPr/>
      </w:pPr>
      <w:r>
        <w:rPr>
          <w:b/>
          <w:bCs/>
          <w:sz w:val="20"/>
          <w:szCs w:val="20"/>
        </w:rPr>
        <w:t xml:space="preserve">Date of Technical Bid (Part-I) Opening: </w:t>
      </w:r>
      <w:r>
        <w:rPr>
          <w:sz w:val="20"/>
          <w:szCs w:val="20"/>
        </w:rPr>
        <w:t>_______________________________________________________</w:t>
      </w:r>
    </w:p>
    <w:p>
      <w:pPr>
        <w:pStyle w:val="Normal"/>
        <w:spacing w:before="0" w:after="160"/>
        <w:rPr/>
      </w:pPr>
      <w:r>
        <w:rPr>
          <w:i/>
          <w:iCs/>
          <w:color w:val="777777"/>
          <w:sz w:val="18"/>
          <w:szCs w:val="18"/>
        </w:rPr>
        <w:t>PWC, along with the TEC, conducts a rigorous evaluation analyzing international standards, compliance data sheets, and vendor eligibility, and prepares a transparent, signed Technical Evaluation Report.</w:t>
      </w:r>
    </w:p>
    <w:p>
      <w:pPr>
        <w:pStyle w:val="Normal"/>
        <w:spacing w:before="0" w:after="160"/>
        <w:rPr/>
      </w:pPr>
      <w:r>
        <w:rPr>
          <w:b/>
          <w:bCs/>
          <w:sz w:val="20"/>
          <w:szCs w:val="20"/>
        </w:rPr>
        <w:t xml:space="preserve">Technical Evaluation Report Reference No.: </w:t>
      </w:r>
      <w:r>
        <w:rPr>
          <w:sz w:val="20"/>
          <w:szCs w:val="20"/>
        </w:rPr>
        <w:t>_______________________________________________________</w:t>
      </w:r>
    </w:p>
    <w:p>
      <w:pPr>
        <w:pStyle w:val="Normal"/>
        <w:spacing w:before="0" w:after="160"/>
        <w:rPr/>
      </w:pPr>
      <w:r>
        <w:rPr>
          <w:sz w:val="22"/>
          <w:szCs w:val="22"/>
        </w:rPr>
        <w:t xml:space="preserve">☐  </w:t>
      </w:r>
      <w:r>
        <w:rPr>
          <w:sz w:val="20"/>
          <w:szCs w:val="20"/>
        </w:rPr>
        <w:t xml:space="preserve">Technical Evaluation Report recommended as submitted        </w:t>
      </w:r>
      <w:r>
        <w:rPr>
          <w:sz w:val="22"/>
          <w:szCs w:val="22"/>
        </w:rPr>
        <w:t xml:space="preserve">☐  </w:t>
      </w:r>
      <w:r>
        <w:rPr>
          <w:sz w:val="20"/>
          <w:szCs w:val="20"/>
        </w:rPr>
        <w:t>Returned to TEC for reconsideration</w:t>
      </w:r>
    </w:p>
    <w:p>
      <w:pPr>
        <w:pStyle w:val="Normal"/>
        <w:spacing w:before="0" w:after="160"/>
        <w:rPr/>
      </w:pPr>
      <w:r>
        <w:rPr>
          <w:b/>
          <w:bCs/>
          <w:sz w:val="20"/>
          <w:szCs w:val="20"/>
        </w:rPr>
        <w:t>List of Technically Qualified &amp; Responsive Bidders (attach if lengthy):</w:t>
      </w:r>
    </w:p>
    <w:tbl>
      <w:tblPr>
        <w:tblW w:w="5000" w:type="pct"/>
        <w:jc w:val="left"/>
        <w:tblInd w:w="100" w:type="dxa"/>
        <w:tblLayout w:type="fixed"/>
        <w:tblCellMar>
          <w:top w:w="60" w:type="dxa"/>
          <w:left w:w="100" w:type="dxa"/>
          <w:bottom w:w="60" w:type="dxa"/>
          <w:right w:w="100" w:type="dxa"/>
        </w:tblCellMar>
      </w:tblPr>
      <w:tblGrid>
        <w:gridCol w:w="4631"/>
        <w:gridCol w:w="2384"/>
        <w:gridCol w:w="2101"/>
        <w:gridCol w:w="1349"/>
      </w:tblGrid>
      <w:tr>
        <w:trPr>
          <w:tblHeader w:val="true"/>
        </w:trPr>
        <w:tc>
          <w:tcPr>
            <w:tcW w:w="463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9"/>
                <w:szCs w:val="19"/>
              </w:rPr>
              <w:t>Name</w:t>
            </w:r>
          </w:p>
        </w:tc>
        <w:tc>
          <w:tcPr>
            <w:tcW w:w="2384"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9"/>
                <w:szCs w:val="19"/>
              </w:rPr>
              <w:t>Role</w:t>
            </w:r>
          </w:p>
        </w:tc>
        <w:tc>
          <w:tcPr>
            <w:tcW w:w="210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9"/>
                <w:szCs w:val="19"/>
              </w:rPr>
              <w:t>Signature</w:t>
            </w:r>
          </w:p>
        </w:tc>
        <w:tc>
          <w:tcPr>
            <w:tcW w:w="1349"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sz w:val="19"/>
                <w:szCs w:val="19"/>
              </w:rPr>
              <w:t>Date</w:t>
            </w:r>
          </w:p>
        </w:tc>
      </w:tr>
      <w:tr>
        <w:trPr/>
        <w:tc>
          <w:tcPr>
            <w:tcW w:w="4631" w:type="dxa"/>
            <w:tcBorders>
              <w:top w:val="single" w:sz="4" w:space="0" w:color="999999"/>
              <w:left w:val="single" w:sz="4" w:space="0" w:color="999999"/>
              <w:bottom w:val="single" w:sz="4" w:space="0" w:color="999999"/>
              <w:right w:val="single" w:sz="4" w:space="0" w:color="999999"/>
            </w:tcBorders>
            <w:vAlign w:val="center"/>
          </w:tcPr>
          <w:p>
            <w:pPr>
              <w:pStyle w:val="Normal"/>
              <w:rPr>
                <w:i/>
                <w:i/>
                <w:iCs/>
                <w:color w:val="666666"/>
              </w:rPr>
            </w:pPr>
            <w:r>
              <w:rPr>
                <w:i/>
                <w:iCs/>
                <w:color w:val="808080"/>
              </w:rPr>
              <w:t>(Attach MoM of PWC)</w:t>
            </w:r>
          </w:p>
        </w:tc>
        <w:tc>
          <w:tcPr>
            <w:tcW w:w="2384"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sz w:val="19"/>
                <w:szCs w:val="19"/>
              </w:rPr>
              <w:t>PWC — Members</w:t>
            </w:r>
          </w:p>
        </w:tc>
        <w:tc>
          <w:tcPr>
            <w:tcW w:w="210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349"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9.  Approval Gate 2 — Technical Evaluation Report &amp; Opening of Price Bid</w:t>
      </w:r>
    </w:p>
    <w:p>
      <w:pPr>
        <w:pStyle w:val="Normal"/>
        <w:spacing w:before="0" w:after="160"/>
        <w:rPr/>
      </w:pPr>
      <w:r>
        <w:rPr>
          <w:i/>
          <w:iCs/>
          <w:color w:val="777777"/>
          <w:sz w:val="18"/>
          <w:szCs w:val="18"/>
        </w:rPr>
        <w:t>Purchase Section seeks approval of the Technical Evaluation Report and opening of the Price Bid from the CFA.</w:t>
      </w:r>
    </w:p>
    <w:tbl>
      <w:tblPr>
        <w:tblW w:w="5000" w:type="pct"/>
        <w:jc w:val="left"/>
        <w:tblInd w:w="100" w:type="dxa"/>
        <w:tblLayout w:type="fixed"/>
        <w:tblCellMar>
          <w:top w:w="60" w:type="dxa"/>
          <w:left w:w="100" w:type="dxa"/>
          <w:bottom w:w="60" w:type="dxa"/>
          <w:right w:w="100" w:type="dxa"/>
        </w:tblCellMar>
      </w:tblPr>
      <w:tblGrid>
        <w:gridCol w:w="5234"/>
        <w:gridCol w:w="5231"/>
      </w:tblGrid>
      <w:tr>
        <w:trPr/>
        <w:tc>
          <w:tcPr>
            <w:tcW w:w="10465" w:type="dxa"/>
            <w:gridSpan w:val="2"/>
            <w:tcBorders>
              <w:top w:val="single" w:sz="4" w:space="0" w:color="999999"/>
              <w:left w:val="single" w:sz="4" w:space="0" w:color="999999"/>
              <w:bottom w:val="single" w:sz="4" w:space="0" w:color="999999"/>
              <w:right w:val="single" w:sz="4" w:space="0" w:color="999999"/>
            </w:tcBorders>
            <w:shd w:fill="FFFFFF" w:val="clear"/>
          </w:tcPr>
          <w:p>
            <w:pPr>
              <w:pStyle w:val="Normal"/>
              <w:rPr>
                <w:sz w:val="20"/>
                <w:szCs w:val="20"/>
              </w:rPr>
            </w:pPr>
            <w:r>
              <w:rPr>
                <w:b w:val="false"/>
                <w:bCs w:val="false"/>
                <w:sz w:val="20"/>
                <w:szCs w:val="20"/>
              </w:rPr>
              <w:t>Registrar:                              ☐  Recommended                 ☐  Not Recommended / Returned</w:t>
            </w:r>
          </w:p>
        </w:tc>
      </w:tr>
      <w:tr>
        <w:trPr/>
        <w:tc>
          <w:tcPr>
            <w:tcW w:w="10465" w:type="dxa"/>
            <w:gridSpan w:val="2"/>
            <w:tcBorders>
              <w:left w:val="single" w:sz="4" w:space="0" w:color="999999"/>
              <w:bottom w:val="single" w:sz="4" w:space="0" w:color="999999"/>
              <w:right w:val="single" w:sz="4" w:space="0" w:color="999999"/>
            </w:tcBorders>
            <w:shd w:fill="FFFFFF" w:val="clear"/>
          </w:tcPr>
          <w:p>
            <w:pPr>
              <w:pStyle w:val="Normal"/>
              <w:rPr>
                <w:sz w:val="20"/>
                <w:szCs w:val="20"/>
              </w:rPr>
            </w:pPr>
            <w:r>
              <w:rPr>
                <w:sz w:val="20"/>
                <w:szCs w:val="20"/>
              </w:rPr>
              <w:t>Signature &amp; Date:</w:t>
            </w:r>
          </w:p>
        </w:tc>
      </w:tr>
      <w:tr>
        <w:trPr/>
        <w:tc>
          <w:tcPr>
            <w:tcW w:w="10465" w:type="dxa"/>
            <w:gridSpan w:val="2"/>
            <w:tcBorders>
              <w:left w:val="single" w:sz="4" w:space="0" w:color="999999"/>
              <w:bottom w:val="single" w:sz="4" w:space="0" w:color="999999"/>
              <w:right w:val="single" w:sz="4" w:space="0" w:color="999999"/>
            </w:tcBorders>
            <w:shd w:fill="BBE6FE" w:val="clear"/>
          </w:tcPr>
          <w:p>
            <w:pPr>
              <w:pStyle w:val="Normal"/>
              <w:rPr/>
            </w:pPr>
            <w:r>
              <w:rPr>
                <w:b/>
                <w:bCs/>
                <w:sz w:val="19"/>
                <w:szCs w:val="19"/>
              </w:rPr>
              <w:t>Decision of Competent Financial Authority (CFA) — Technical Evaluation Report / Opening of Price Bid</w:t>
            </w:r>
          </w:p>
        </w:tc>
      </w:tr>
      <w:tr>
        <w:trPr/>
        <w:tc>
          <w:tcPr>
            <w:tcW w:w="10465" w:type="dxa"/>
            <w:gridSpan w:val="2"/>
            <w:tcBorders>
              <w:top w:val="single" w:sz="4" w:space="0" w:color="999999"/>
              <w:left w:val="single" w:sz="4" w:space="0" w:color="999999"/>
              <w:bottom w:val="single" w:sz="4" w:space="0" w:color="999999"/>
              <w:right w:val="single" w:sz="4" w:space="0" w:color="999999"/>
            </w:tcBorders>
            <w:tcMar>
              <w:top w:w="100" w:type="dxa"/>
              <w:bottom w:w="100" w:type="dxa"/>
            </w:tcMar>
          </w:tcPr>
          <w:p>
            <w:pPr>
              <w:pStyle w:val="Normal"/>
              <w:spacing w:before="0" w:after="160"/>
              <w:rPr/>
            </w:pPr>
            <w:r>
              <w:rPr>
                <w:sz w:val="22"/>
                <w:szCs w:val="22"/>
              </w:rPr>
              <w:t xml:space="preserve">☐  </w:t>
            </w:r>
            <w:r>
              <w:rPr>
                <w:sz w:val="20"/>
                <w:szCs w:val="20"/>
              </w:rPr>
              <w:t xml:space="preserve">Approved        </w:t>
            </w:r>
            <w:r>
              <w:rPr>
                <w:sz w:val="22"/>
                <w:szCs w:val="22"/>
              </w:rPr>
              <w:t xml:space="preserve">☐  </w:t>
            </w:r>
            <w:r>
              <w:rPr>
                <w:sz w:val="20"/>
                <w:szCs w:val="20"/>
              </w:rPr>
              <w:t xml:space="preserve">Approved with Modifications        </w:t>
            </w:r>
            <w:r>
              <w:rPr>
                <w:sz w:val="22"/>
                <w:szCs w:val="22"/>
              </w:rPr>
              <w:t xml:space="preserve">☐  </w:t>
            </w:r>
            <w:r>
              <w:rPr>
                <w:sz w:val="20"/>
                <w:szCs w:val="20"/>
              </w:rPr>
              <w:t>Not Approved / Returned</w:t>
            </w:r>
          </w:p>
          <w:p>
            <w:pPr>
              <w:pStyle w:val="Normal"/>
              <w:spacing w:before="0" w:after="100"/>
              <w:rPr/>
            </w:pPr>
            <w:r>
              <w:rPr>
                <w:b/>
                <w:bCs/>
                <w:sz w:val="19"/>
                <w:szCs w:val="19"/>
              </w:rPr>
              <w:t>Remarks / Modifications (if any):</w:t>
            </w:r>
          </w:p>
          <w:p>
            <w:pPr>
              <w:pStyle w:val="Normal"/>
              <w:pBdr>
                <w:bottom w:val="single" w:sz="4" w:space="0" w:color="999999"/>
              </w:pBdr>
              <w:spacing w:before="0" w:after="160"/>
              <w:rPr>
                <w:sz w:val="19"/>
                <w:szCs w:val="19"/>
              </w:rPr>
            </w:pPr>
            <w:r>
              <w:rPr>
                <w:sz w:val="19"/>
                <w:szCs w:val="19"/>
              </w:rPr>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Designation of CFA (DIRECTOR):</w:t>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Signature &amp; Date:</w:t>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10.  Financial Opening &amp; Parity Conversion</w:t>
      </w:r>
    </w:p>
    <w:p>
      <w:pPr>
        <w:pStyle w:val="Normal"/>
        <w:spacing w:before="0" w:after="100"/>
        <w:rPr/>
      </w:pPr>
      <w:r>
        <w:rPr>
          <w:i/>
          <w:iCs/>
          <w:color w:val="555555"/>
          <w:sz w:val="18"/>
          <w:szCs w:val="18"/>
        </w:rPr>
        <w:t>Step 7 — Financial Opening &amp; Parity Conversion</w:t>
      </w:r>
    </w:p>
    <w:p>
      <w:pPr>
        <w:pStyle w:val="Normal"/>
        <w:spacing w:before="0" w:after="160"/>
        <w:rPr/>
      </w:pPr>
      <w:r>
        <w:rPr>
          <w:b/>
          <w:bCs/>
          <w:sz w:val="20"/>
          <w:szCs w:val="20"/>
        </w:rPr>
        <w:t xml:space="preserve">Date of Price Bid (Part-II) Opening: </w:t>
      </w:r>
      <w:r>
        <w:rPr>
          <w:sz w:val="20"/>
          <w:szCs w:val="20"/>
        </w:rPr>
        <w:t>_______________________________________________________</w:t>
      </w:r>
    </w:p>
    <w:p>
      <w:pPr>
        <w:pStyle w:val="Normal"/>
        <w:spacing w:before="0" w:after="160"/>
        <w:rPr/>
      </w:pPr>
      <w:r>
        <w:rPr>
          <w:i/>
          <w:iCs/>
          <w:color w:val="777777"/>
          <w:sz w:val="18"/>
          <w:szCs w:val="18"/>
        </w:rPr>
        <w:t>All multi-currency bids are converted into INR using the official BC Selling Rate of the State Bank of India (SBI) on the exact day of the financial bid opening.</w:t>
      </w:r>
    </w:p>
    <w:tbl>
      <w:tblPr>
        <w:tblW w:w="5000" w:type="pct"/>
        <w:jc w:val="left"/>
        <w:tblInd w:w="100" w:type="dxa"/>
        <w:tblLayout w:type="fixed"/>
        <w:tblCellMar>
          <w:top w:w="60" w:type="dxa"/>
          <w:left w:w="100" w:type="dxa"/>
          <w:bottom w:w="60" w:type="dxa"/>
          <w:right w:w="100" w:type="dxa"/>
        </w:tblCellMar>
      </w:tblPr>
      <w:tblGrid>
        <w:gridCol w:w="1962"/>
        <w:gridCol w:w="2177"/>
        <w:gridCol w:w="2183"/>
        <w:gridCol w:w="2396"/>
        <w:gridCol w:w="1748"/>
      </w:tblGrid>
      <w:tr>
        <w:trPr>
          <w:tblHeader w:val="true"/>
        </w:trPr>
        <w:tc>
          <w:tcPr>
            <w:tcW w:w="1962"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Bidder</w:t>
            </w:r>
          </w:p>
        </w:tc>
        <w:tc>
          <w:tcPr>
            <w:tcW w:w="2177"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Currency &amp; Quoted Amount</w:t>
            </w:r>
          </w:p>
        </w:tc>
        <w:tc>
          <w:tcPr>
            <w:tcW w:w="2183"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SBI BC Selling Rate (on opening date)</w:t>
            </w:r>
          </w:p>
        </w:tc>
        <w:tc>
          <w:tcPr>
            <w:tcW w:w="2396"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INR Equivalent (Landed Cost)</w:t>
            </w:r>
          </w:p>
        </w:tc>
        <w:tc>
          <w:tcPr>
            <w:tcW w:w="1748"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Rank</w:t>
            </w:r>
          </w:p>
        </w:tc>
      </w:tr>
      <w:tr>
        <w:trPr/>
        <w:tc>
          <w:tcPr>
            <w:tcW w:w="196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7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83"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39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748"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196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7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83"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39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748"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196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7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83"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39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748"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196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7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83"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39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748"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pacing w:before="0" w:after="160"/>
        <w:rPr/>
      </w:pPr>
      <w:r>
        <w:rPr>
          <w:i/>
          <w:iCs/>
          <w:color w:val="777777"/>
          <w:sz w:val="18"/>
          <w:szCs w:val="18"/>
        </w:rPr>
        <w:t>PWC ensures the price comparison includes all elements — base price, GST, customs duty, freight and insurance — to establish the true landed L1 cost, and recommends the CSB and L1.</w:t>
      </w:r>
    </w:p>
    <w:p>
      <w:pPr>
        <w:pStyle w:val="Normal"/>
        <w:spacing w:before="0" w:after="160"/>
        <w:rPr/>
      </w:pPr>
      <w:r>
        <w:rPr>
          <w:b/>
          <w:bCs/>
          <w:sz w:val="20"/>
          <w:szCs w:val="20"/>
        </w:rPr>
        <w:t xml:space="preserve">L1 Bidder Identified: </w:t>
      </w:r>
      <w:r>
        <w:rPr>
          <w:sz w:val="20"/>
          <w:szCs w:val="20"/>
        </w:rPr>
        <w:t>_______________________________________________________</w:t>
      </w:r>
    </w:p>
    <w:p>
      <w:pPr>
        <w:pStyle w:val="Normal"/>
        <w:spacing w:before="0" w:after="160"/>
        <w:rPr/>
      </w:pPr>
      <w:r>
        <w:rPr>
          <w:b/>
          <w:bCs/>
          <w:sz w:val="20"/>
          <w:szCs w:val="20"/>
        </w:rPr>
        <w:t xml:space="preserve">L1 Landed Cost (₹): </w:t>
      </w:r>
      <w:r>
        <w:rPr>
          <w:sz w:val="20"/>
          <w:szCs w:val="20"/>
        </w:rPr>
        <w:t>_______________________________________________________</w:t>
      </w:r>
    </w:p>
    <w:tbl>
      <w:tblPr>
        <w:tblW w:w="5000" w:type="pct"/>
        <w:jc w:val="left"/>
        <w:tblInd w:w="100" w:type="dxa"/>
        <w:tblLayout w:type="fixed"/>
        <w:tblCellMar>
          <w:top w:w="60" w:type="dxa"/>
          <w:left w:w="100" w:type="dxa"/>
          <w:bottom w:w="60" w:type="dxa"/>
          <w:right w:w="100" w:type="dxa"/>
        </w:tblCellMar>
      </w:tblPr>
      <w:tblGrid>
        <w:gridCol w:w="2833"/>
        <w:gridCol w:w="2837"/>
        <w:gridCol w:w="2834"/>
        <w:gridCol w:w="1961"/>
      </w:tblGrid>
      <w:tr>
        <w:trPr>
          <w:tblHeader w:val="true"/>
        </w:trPr>
        <w:tc>
          <w:tcPr>
            <w:tcW w:w="2833"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Name</w:t>
            </w:r>
          </w:p>
        </w:tc>
        <w:tc>
          <w:tcPr>
            <w:tcW w:w="2837"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Role</w:t>
            </w:r>
          </w:p>
        </w:tc>
        <w:tc>
          <w:tcPr>
            <w:tcW w:w="2834"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Signature</w:t>
            </w:r>
          </w:p>
        </w:tc>
        <w:tc>
          <w:tcPr>
            <w:tcW w:w="196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Date</w:t>
            </w:r>
          </w:p>
        </w:tc>
      </w:tr>
      <w:tr>
        <w:trPr/>
        <w:tc>
          <w:tcPr>
            <w:tcW w:w="2833" w:type="dxa"/>
            <w:tcBorders>
              <w:top w:val="single" w:sz="4" w:space="0" w:color="999999"/>
              <w:left w:val="single" w:sz="4" w:space="0" w:color="999999"/>
              <w:bottom w:val="single" w:sz="4" w:space="0" w:color="999999"/>
              <w:right w:val="single" w:sz="4" w:space="0" w:color="999999"/>
            </w:tcBorders>
            <w:vAlign w:val="center"/>
          </w:tcPr>
          <w:p>
            <w:pPr>
              <w:pStyle w:val="Normal"/>
              <w:rPr>
                <w:i/>
                <w:i/>
                <w:iCs/>
                <w:color w:val="666666"/>
              </w:rPr>
            </w:pPr>
            <w:r>
              <w:rPr>
                <w:i/>
                <w:iCs/>
                <w:color w:val="808080"/>
              </w:rPr>
              <w:t>(Attach MoM of PWC)</w:t>
            </w:r>
          </w:p>
        </w:tc>
        <w:tc>
          <w:tcPr>
            <w:tcW w:w="2837"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PWC — Members</w:t>
            </w:r>
          </w:p>
        </w:tc>
        <w:tc>
          <w:tcPr>
            <w:tcW w:w="28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11.  Complex Pre-Audit Vetting</w:t>
      </w:r>
    </w:p>
    <w:p>
      <w:pPr>
        <w:pStyle w:val="Normal"/>
        <w:spacing w:before="0" w:after="100"/>
        <w:rPr/>
      </w:pPr>
      <w:r>
        <w:rPr>
          <w:i/>
          <w:iCs/>
          <w:color w:val="555555"/>
          <w:sz w:val="18"/>
          <w:szCs w:val="18"/>
        </w:rPr>
        <w:t>Step 8 — Complex Pre-Audit Vetting (Pre-Audit Cell)</w:t>
      </w:r>
    </w:p>
    <w:p>
      <w:pPr>
        <w:pStyle w:val="Normal"/>
        <w:spacing w:before="0" w:after="160"/>
        <w:rPr/>
      </w:pPr>
      <w:r>
        <w:rPr>
          <w:i/>
          <w:iCs/>
          <w:color w:val="777777"/>
          <w:sz w:val="18"/>
          <w:szCs w:val="18"/>
        </w:rPr>
        <w:t>Pre-Audit Cell conducts a thorough review of the global file, acting as the financial compliance authority to prevent costly trade disputes, unauthorized advance payments, or currency exchange penalties.</w:t>
      </w:r>
    </w:p>
    <w:p>
      <w:pPr>
        <w:pStyle w:val="Normal"/>
        <w:spacing w:before="0" w:after="160"/>
        <w:rPr/>
      </w:pPr>
      <w:r>
        <w:rPr>
          <w:sz w:val="22"/>
          <w:szCs w:val="22"/>
        </w:rPr>
        <w:t xml:space="preserve">☐  </w:t>
      </w:r>
      <w:r>
        <w:rPr>
          <w:sz w:val="20"/>
          <w:szCs w:val="20"/>
        </w:rPr>
        <w:t>Incoterms clarity confirmed (FOB / FCA / CIP / CIF)</w:t>
      </w:r>
    </w:p>
    <w:p>
      <w:pPr>
        <w:pStyle w:val="Normal"/>
        <w:spacing w:before="0" w:after="160"/>
        <w:rPr/>
      </w:pPr>
      <w:r>
        <w:rPr>
          <w:b/>
          <w:bCs/>
          <w:sz w:val="20"/>
          <w:szCs w:val="20"/>
        </w:rPr>
        <w:t xml:space="preserve">Incoterm Applicable: </w:t>
      </w:r>
      <w:r>
        <w:rPr>
          <w:sz w:val="20"/>
          <w:szCs w:val="20"/>
        </w:rPr>
        <w:t>_______________________________________________________</w:t>
      </w:r>
    </w:p>
    <w:p>
      <w:pPr>
        <w:pStyle w:val="Normal"/>
        <w:spacing w:before="0" w:after="160"/>
        <w:rPr/>
      </w:pPr>
      <w:r>
        <w:rPr>
          <w:sz w:val="22"/>
          <w:szCs w:val="22"/>
        </w:rPr>
        <w:t xml:space="preserve">☐  </w:t>
      </w:r>
      <w:r>
        <w:rPr>
          <w:sz w:val="20"/>
          <w:szCs w:val="20"/>
        </w:rPr>
        <w:t>Applicable customs duty exemptions for research institutes applied</w:t>
      </w:r>
    </w:p>
    <w:p>
      <w:pPr>
        <w:pStyle w:val="Normal"/>
        <w:spacing w:before="0" w:after="160"/>
        <w:rPr/>
      </w:pPr>
      <w:r>
        <w:rPr>
          <w:sz w:val="22"/>
          <w:szCs w:val="22"/>
        </w:rPr>
        <w:t xml:space="preserve">☐  </w:t>
      </w:r>
      <w:r>
        <w:rPr>
          <w:sz w:val="20"/>
          <w:szCs w:val="20"/>
        </w:rPr>
        <w:t>Foreign exchange payment mechanism scrutinized (Letter of Credit / Wire Transfer)</w:t>
      </w:r>
    </w:p>
    <w:p>
      <w:pPr>
        <w:pStyle w:val="Normal"/>
        <w:spacing w:before="0" w:after="160"/>
        <w:rPr/>
      </w:pPr>
      <w:r>
        <w:rPr>
          <w:b/>
          <w:bCs/>
          <w:sz w:val="20"/>
          <w:szCs w:val="20"/>
        </w:rPr>
        <w:t xml:space="preserve">Payment Mechanism Confirmed: </w:t>
      </w:r>
      <w:r>
        <w:rPr>
          <w:sz w:val="20"/>
          <w:szCs w:val="20"/>
        </w:rPr>
        <w:t>_______________________________________________________</w:t>
      </w:r>
    </w:p>
    <w:p>
      <w:pPr>
        <w:pStyle w:val="Normal"/>
        <w:spacing w:before="0" w:after="100"/>
        <w:rPr/>
      </w:pPr>
      <w:r>
        <w:rPr>
          <w:b/>
          <w:bCs/>
          <w:sz w:val="20"/>
          <w:szCs w:val="20"/>
        </w:rPr>
        <w:t>Observations (if any):</w:t>
      </w:r>
    </w:p>
    <w:p>
      <w:pPr>
        <w:pStyle w:val="Normal"/>
        <w:pBdr>
          <w:bottom w:val="single" w:sz="4" w:space="0" w:color="999999"/>
        </w:pBdr>
        <w:spacing w:before="0" w:after="160"/>
        <w:rPr/>
      </w:pPr>
      <w:r>
        <w:rPr>
          <w:sz w:val="19"/>
          <w:szCs w:val="19"/>
        </w:rPr>
        <w:t xml:space="preserve"> </w:t>
      </w:r>
    </w:p>
    <w:tbl>
      <w:tblPr>
        <w:tblW w:w="5000" w:type="pct"/>
        <w:jc w:val="left"/>
        <w:tblInd w:w="100" w:type="dxa"/>
        <w:tblLayout w:type="fixed"/>
        <w:tblCellMar>
          <w:top w:w="60" w:type="dxa"/>
          <w:left w:w="100" w:type="dxa"/>
          <w:bottom w:w="60" w:type="dxa"/>
          <w:right w:w="100" w:type="dxa"/>
        </w:tblCellMar>
      </w:tblPr>
      <w:tblGrid>
        <w:gridCol w:w="2833"/>
        <w:gridCol w:w="2837"/>
        <w:gridCol w:w="2834"/>
        <w:gridCol w:w="1961"/>
      </w:tblGrid>
      <w:tr>
        <w:trPr>
          <w:tblHeader w:val="true"/>
        </w:trPr>
        <w:tc>
          <w:tcPr>
            <w:tcW w:w="2833"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Name</w:t>
            </w:r>
          </w:p>
        </w:tc>
        <w:tc>
          <w:tcPr>
            <w:tcW w:w="2837"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Role</w:t>
            </w:r>
          </w:p>
        </w:tc>
        <w:tc>
          <w:tcPr>
            <w:tcW w:w="2834"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Signature</w:t>
            </w:r>
          </w:p>
        </w:tc>
        <w:tc>
          <w:tcPr>
            <w:tcW w:w="196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Date</w:t>
            </w:r>
          </w:p>
        </w:tc>
      </w:tr>
      <w:tr>
        <w:trPr/>
        <w:tc>
          <w:tcPr>
            <w:tcW w:w="2833" w:type="dxa"/>
            <w:tcBorders>
              <w:top w:val="single" w:sz="4" w:space="0" w:color="999999"/>
              <w:left w:val="single" w:sz="4" w:space="0" w:color="999999"/>
              <w:bottom w:val="single" w:sz="4" w:space="0" w:color="999999"/>
              <w:right w:val="single" w:sz="4" w:space="0" w:color="999999"/>
            </w:tcBorders>
            <w:vAlign w:val="center"/>
          </w:tcPr>
          <w:p>
            <w:pPr>
              <w:pStyle w:val="Normal"/>
              <w:rPr>
                <w:i/>
                <w:i/>
                <w:iCs/>
                <w:color w:val="666666"/>
              </w:rPr>
            </w:pPr>
            <w:r>
              <w:rPr>
                <w:i/>
                <w:iCs/>
                <w:color w:val="808080"/>
              </w:rPr>
              <w:t>(Attach MoM of PAC)</w:t>
            </w:r>
          </w:p>
        </w:tc>
        <w:tc>
          <w:tcPr>
            <w:tcW w:w="2837"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Pre-Audit Cell — Officer</w:t>
            </w:r>
          </w:p>
        </w:tc>
        <w:tc>
          <w:tcPr>
            <w:tcW w:w="28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12.  Budget &amp; Planning Committee (BPC) — Review of Compiled File</w:t>
      </w:r>
    </w:p>
    <w:p>
      <w:pPr>
        <w:pStyle w:val="Normal"/>
        <w:spacing w:before="0" w:after="100"/>
        <w:rPr/>
      </w:pPr>
      <w:r>
        <w:rPr>
          <w:i/>
          <w:iCs/>
          <w:color w:val="555555"/>
          <w:sz w:val="18"/>
          <w:szCs w:val="18"/>
        </w:rPr>
        <w:t>Step 9 — Executive Financial Sanction (Part 1: BPC Review)</w:t>
      </w:r>
    </w:p>
    <w:p>
      <w:pPr>
        <w:pStyle w:val="Normal"/>
        <w:spacing w:before="0" w:after="160"/>
        <w:rPr/>
      </w:pPr>
      <w:r>
        <w:rPr>
          <w:i/>
          <w:iCs/>
          <w:color w:val="777777"/>
          <w:sz w:val="18"/>
          <w:szCs w:val="18"/>
        </w:rPr>
        <w:t>BPC reviews the entire compiled file — including the Ministry's GTE exemption, the PWC's technical selection, the currency conversion matrix, and the Pre-Audit clearance — and allocates the necessary fund.</w:t>
      </w:r>
    </w:p>
    <w:p>
      <w:pPr>
        <w:pStyle w:val="Normal"/>
        <w:spacing w:before="0" w:after="160"/>
        <w:rPr/>
      </w:pPr>
      <w:r>
        <w:rPr>
          <w:sz w:val="22"/>
          <w:szCs w:val="22"/>
        </w:rPr>
        <w:t xml:space="preserve">☐  </w:t>
      </w:r>
      <w:r>
        <w:rPr>
          <w:sz w:val="20"/>
          <w:szCs w:val="20"/>
        </w:rPr>
        <w:t xml:space="preserve">Ministry GTE exemption / Cabinet clearance on file        </w:t>
      </w:r>
      <w:r>
        <w:rPr>
          <w:sz w:val="22"/>
          <w:szCs w:val="22"/>
        </w:rPr>
        <w:t xml:space="preserve">☐  </w:t>
      </w:r>
      <w:r>
        <w:rPr>
          <w:sz w:val="20"/>
          <w:szCs w:val="20"/>
        </w:rPr>
        <w:t xml:space="preserve">PWC technical selection on file        </w:t>
      </w:r>
      <w:r>
        <w:rPr>
          <w:sz w:val="22"/>
          <w:szCs w:val="22"/>
        </w:rPr>
        <w:t xml:space="preserve">☐  </w:t>
      </w:r>
      <w:r>
        <w:rPr>
          <w:sz w:val="20"/>
          <w:szCs w:val="20"/>
        </w:rPr>
        <w:t xml:space="preserve">Currency conversion matrix on file        </w:t>
      </w:r>
      <w:r>
        <w:rPr>
          <w:sz w:val="22"/>
          <w:szCs w:val="22"/>
        </w:rPr>
        <w:t xml:space="preserve">☐  </w:t>
      </w:r>
      <w:r>
        <w:rPr>
          <w:sz w:val="20"/>
          <w:szCs w:val="20"/>
        </w:rPr>
        <w:t>Pre-Audit clearance on file</w:t>
      </w:r>
    </w:p>
    <w:tbl>
      <w:tblPr>
        <w:tblW w:w="5000" w:type="pct"/>
        <w:jc w:val="left"/>
        <w:tblInd w:w="100" w:type="dxa"/>
        <w:tblLayout w:type="fixed"/>
        <w:tblCellMar>
          <w:top w:w="60" w:type="dxa"/>
          <w:left w:w="100" w:type="dxa"/>
          <w:bottom w:w="60" w:type="dxa"/>
          <w:right w:w="100" w:type="dxa"/>
        </w:tblCellMar>
      </w:tblPr>
      <w:tblGrid>
        <w:gridCol w:w="2833"/>
        <w:gridCol w:w="2837"/>
        <w:gridCol w:w="2834"/>
        <w:gridCol w:w="1961"/>
      </w:tblGrid>
      <w:tr>
        <w:trPr>
          <w:tblHeader w:val="true"/>
        </w:trPr>
        <w:tc>
          <w:tcPr>
            <w:tcW w:w="2833"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Name</w:t>
            </w:r>
          </w:p>
        </w:tc>
        <w:tc>
          <w:tcPr>
            <w:tcW w:w="2837"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Role</w:t>
            </w:r>
          </w:p>
        </w:tc>
        <w:tc>
          <w:tcPr>
            <w:tcW w:w="2834"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Signature</w:t>
            </w:r>
          </w:p>
        </w:tc>
        <w:tc>
          <w:tcPr>
            <w:tcW w:w="196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Date</w:t>
            </w:r>
          </w:p>
        </w:tc>
      </w:tr>
      <w:tr>
        <w:trPr/>
        <w:tc>
          <w:tcPr>
            <w:tcW w:w="2833" w:type="dxa"/>
            <w:tcBorders>
              <w:top w:val="single" w:sz="4" w:space="0" w:color="999999"/>
              <w:left w:val="single" w:sz="4" w:space="0" w:color="999999"/>
              <w:bottom w:val="single" w:sz="4" w:space="0" w:color="999999"/>
              <w:right w:val="single" w:sz="4" w:space="0" w:color="999999"/>
            </w:tcBorders>
            <w:vAlign w:val="center"/>
          </w:tcPr>
          <w:p>
            <w:pPr>
              <w:pStyle w:val="Normal"/>
              <w:rPr>
                <w:i/>
                <w:i/>
                <w:iCs/>
                <w:color w:val="666666"/>
              </w:rPr>
            </w:pPr>
            <w:r>
              <w:rPr>
                <w:i/>
                <w:iCs/>
                <w:color w:val="808080"/>
              </w:rPr>
              <w:t>(Attach MoM of BPC)</w:t>
            </w:r>
          </w:p>
        </w:tc>
        <w:tc>
          <w:tcPr>
            <w:tcW w:w="2837"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BPC — Chairman / Member</w:t>
            </w:r>
          </w:p>
        </w:tc>
        <w:tc>
          <w:tcPr>
            <w:tcW w:w="28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fill="0369A3" w:val="clear"/>
        <w:spacing w:before="300" w:after="120"/>
        <w:rPr/>
      </w:pPr>
      <w:r>
        <w:rPr>
          <w:b/>
          <w:bCs/>
          <w:color w:val="FFFFFF"/>
          <w:sz w:val="22"/>
          <w:szCs w:val="22"/>
        </w:rPr>
        <w:t xml:space="preserve">  </w:t>
      </w:r>
      <w:r>
        <w:rPr>
          <w:b/>
          <w:bCs/>
          <w:color w:val="FFFFFF"/>
          <w:sz w:val="22"/>
          <w:szCs w:val="22"/>
        </w:rPr>
        <w:t>13.  Approval Gate 3 (Final) — Administrative Approval &amp; Financial Sanction</w:t>
      </w:r>
    </w:p>
    <w:p>
      <w:pPr>
        <w:pStyle w:val="Normal"/>
        <w:spacing w:before="0" w:after="100"/>
        <w:rPr/>
      </w:pPr>
      <w:r>
        <w:rPr>
          <w:i/>
          <w:iCs/>
          <w:color w:val="555555"/>
          <w:sz w:val="18"/>
          <w:szCs w:val="18"/>
        </w:rPr>
        <w:t>Step 9 — Executive Financial Sanction (Part 2: Final CFA Approval)</w:t>
      </w:r>
    </w:p>
    <w:p>
      <w:pPr>
        <w:pStyle w:val="Normal"/>
        <w:spacing w:before="0" w:after="160"/>
        <w:rPr/>
      </w:pPr>
      <w:r>
        <w:rPr>
          <w:b/>
          <w:bCs/>
          <w:sz w:val="20"/>
          <w:szCs w:val="20"/>
        </w:rPr>
        <w:t xml:space="preserve">Vendor Recommended for Award (L1): </w:t>
      </w:r>
      <w:r>
        <w:rPr>
          <w:sz w:val="20"/>
          <w:szCs w:val="20"/>
        </w:rPr>
        <w:t>_______________________________________________________</w:t>
      </w:r>
    </w:p>
    <w:p>
      <w:pPr>
        <w:pStyle w:val="Normal"/>
        <w:spacing w:before="0" w:after="160"/>
        <w:rPr/>
      </w:pPr>
      <w:r>
        <w:rPr>
          <w:b/>
          <w:bCs/>
          <w:sz w:val="20"/>
          <w:szCs w:val="20"/>
        </w:rPr>
        <w:t xml:space="preserve">Sanctioned Amount (₹, INR Equivalent): </w:t>
      </w:r>
      <w:r>
        <w:rPr>
          <w:sz w:val="20"/>
          <w:szCs w:val="20"/>
        </w:rPr>
        <w:t>______________________________________________________</w:t>
      </w:r>
    </w:p>
    <w:p>
      <w:pPr>
        <w:pStyle w:val="Normal"/>
        <w:spacing w:before="0" w:after="160"/>
        <w:rPr/>
      </w:pPr>
      <w:r>
        <w:rPr>
          <w:b/>
          <w:bCs/>
          <w:sz w:val="20"/>
          <w:szCs w:val="20"/>
        </w:rPr>
        <w:t>Registrar’s Recommendations &amp; Signature:</w:t>
      </w:r>
      <w:r>
        <w:rPr>
          <w:sz w:val="20"/>
          <w:szCs w:val="20"/>
        </w:rPr>
        <w:t xml:space="preserve"> ____________________________________________________</w:t>
      </w:r>
    </w:p>
    <w:tbl>
      <w:tblPr>
        <w:tblW w:w="5000" w:type="pct"/>
        <w:jc w:val="left"/>
        <w:tblInd w:w="100" w:type="dxa"/>
        <w:tblLayout w:type="fixed"/>
        <w:tblCellMar>
          <w:top w:w="60" w:type="dxa"/>
          <w:left w:w="100" w:type="dxa"/>
          <w:bottom w:w="60" w:type="dxa"/>
          <w:right w:w="100" w:type="dxa"/>
        </w:tblCellMar>
      </w:tblPr>
      <w:tblGrid>
        <w:gridCol w:w="5234"/>
        <w:gridCol w:w="5231"/>
      </w:tblGrid>
      <w:tr>
        <w:trPr/>
        <w:tc>
          <w:tcPr>
            <w:tcW w:w="10465" w:type="dxa"/>
            <w:gridSpan w:val="2"/>
            <w:tcBorders>
              <w:top w:val="single" w:sz="4" w:space="0" w:color="999999"/>
              <w:left w:val="single" w:sz="4" w:space="0" w:color="999999"/>
              <w:bottom w:val="single" w:sz="4" w:space="0" w:color="999999"/>
              <w:right w:val="single" w:sz="4" w:space="0" w:color="999999"/>
            </w:tcBorders>
            <w:shd w:fill="BBE6FE" w:val="clear"/>
          </w:tcPr>
          <w:p>
            <w:pPr>
              <w:pStyle w:val="Normal"/>
              <w:rPr/>
            </w:pPr>
            <w:r>
              <w:rPr>
                <w:b/>
                <w:bCs/>
                <w:sz w:val="19"/>
                <w:szCs w:val="19"/>
              </w:rPr>
              <w:t>Decision of Competent Financial Authority (CFA) — Final Administrative Approval &amp; Financial Sanction — Global Tender Enquiry</w:t>
            </w:r>
          </w:p>
        </w:tc>
      </w:tr>
      <w:tr>
        <w:trPr/>
        <w:tc>
          <w:tcPr>
            <w:tcW w:w="10465" w:type="dxa"/>
            <w:gridSpan w:val="2"/>
            <w:tcBorders>
              <w:top w:val="single" w:sz="4" w:space="0" w:color="999999"/>
              <w:left w:val="single" w:sz="4" w:space="0" w:color="999999"/>
              <w:bottom w:val="single" w:sz="4" w:space="0" w:color="999999"/>
              <w:right w:val="single" w:sz="4" w:space="0" w:color="999999"/>
            </w:tcBorders>
            <w:tcMar>
              <w:top w:w="100" w:type="dxa"/>
              <w:bottom w:w="100" w:type="dxa"/>
            </w:tcMar>
          </w:tcPr>
          <w:p>
            <w:pPr>
              <w:pStyle w:val="Normal"/>
              <w:spacing w:before="0" w:after="160"/>
              <w:rPr/>
            </w:pPr>
            <w:r>
              <w:rPr>
                <w:sz w:val="22"/>
                <w:szCs w:val="22"/>
              </w:rPr>
              <w:t xml:space="preserve">☐  </w:t>
            </w:r>
            <w:r>
              <w:rPr>
                <w:sz w:val="20"/>
                <w:szCs w:val="20"/>
              </w:rPr>
              <w:t xml:space="preserve">Approved        </w:t>
            </w:r>
            <w:r>
              <w:rPr>
                <w:sz w:val="22"/>
                <w:szCs w:val="22"/>
              </w:rPr>
              <w:t xml:space="preserve">☐  </w:t>
            </w:r>
            <w:r>
              <w:rPr>
                <w:sz w:val="20"/>
                <w:szCs w:val="20"/>
              </w:rPr>
              <w:t xml:space="preserve">Approved with Modifications        </w:t>
            </w:r>
            <w:r>
              <w:rPr>
                <w:sz w:val="22"/>
                <w:szCs w:val="22"/>
              </w:rPr>
              <w:t xml:space="preserve">☐  </w:t>
            </w:r>
            <w:r>
              <w:rPr>
                <w:sz w:val="20"/>
                <w:szCs w:val="20"/>
              </w:rPr>
              <w:t>Not Approved / Returned</w:t>
            </w:r>
          </w:p>
          <w:p>
            <w:pPr>
              <w:pStyle w:val="Normal"/>
              <w:spacing w:before="0" w:after="100"/>
              <w:rPr/>
            </w:pPr>
            <w:r>
              <w:rPr>
                <w:b/>
                <w:bCs/>
                <w:sz w:val="19"/>
                <w:szCs w:val="19"/>
              </w:rPr>
              <w:t>Remarks / Modifications (if any):</w:t>
            </w:r>
          </w:p>
          <w:p>
            <w:pPr>
              <w:pStyle w:val="Normal"/>
              <w:pBdr>
                <w:bottom w:val="single" w:sz="4" w:space="0" w:color="999999"/>
              </w:pBdr>
              <w:spacing w:before="0" w:after="160"/>
              <w:rPr>
                <w:sz w:val="19"/>
                <w:szCs w:val="19"/>
              </w:rPr>
            </w:pPr>
            <w:r>
              <w:rPr>
                <w:sz w:val="19"/>
                <w:szCs w:val="19"/>
              </w:rPr>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Designation of CFA (DIRECTOR):</w:t>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Signature &amp; Date:</w:t>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pacing w:before="200" w:after="100"/>
        <w:rPr/>
      </w:pPr>
      <w:r>
        <w:rPr>
          <w:b/>
          <w:bCs/>
          <w:sz w:val="19"/>
          <w:szCs w:val="19"/>
        </w:rPr>
        <w:t>Where the CFA for this case is the Department of Atomic Energy (DAE), the following escalation chain applies in lieu of / in addition to the above:</w:t>
      </w:r>
    </w:p>
    <w:tbl>
      <w:tblPr>
        <w:tblW w:w="5000" w:type="pct"/>
        <w:jc w:val="left"/>
        <w:tblInd w:w="100" w:type="dxa"/>
        <w:tblLayout w:type="fixed"/>
        <w:tblCellMar>
          <w:top w:w="60" w:type="dxa"/>
          <w:left w:w="100" w:type="dxa"/>
          <w:bottom w:w="60" w:type="dxa"/>
          <w:right w:w="100" w:type="dxa"/>
        </w:tblCellMar>
      </w:tblPr>
      <w:tblGrid>
        <w:gridCol w:w="3706"/>
        <w:gridCol w:w="2836"/>
        <w:gridCol w:w="1962"/>
        <w:gridCol w:w="1961"/>
      </w:tblGrid>
      <w:tr>
        <w:trPr>
          <w:tblHeader w:val="true"/>
        </w:trPr>
        <w:tc>
          <w:tcPr>
            <w:tcW w:w="3706"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Stage</w:t>
            </w:r>
          </w:p>
        </w:tc>
        <w:tc>
          <w:tcPr>
            <w:tcW w:w="2836"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Name &amp; Designation</w:t>
            </w:r>
          </w:p>
        </w:tc>
        <w:tc>
          <w:tcPr>
            <w:tcW w:w="1962"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Signature</w:t>
            </w:r>
          </w:p>
        </w:tc>
        <w:tc>
          <w:tcPr>
            <w:tcW w:w="1961" w:type="dxa"/>
            <w:tcBorders>
              <w:top w:val="single" w:sz="4" w:space="0" w:color="999999"/>
              <w:left w:val="single" w:sz="4" w:space="0" w:color="999999"/>
              <w:bottom w:val="single" w:sz="4" w:space="0" w:color="999999"/>
              <w:right w:val="single" w:sz="4" w:space="0" w:color="999999"/>
            </w:tcBorders>
            <w:shd w:fill="BBE6FE" w:val="clear"/>
            <w:vAlign w:val="center"/>
          </w:tcPr>
          <w:p>
            <w:pPr>
              <w:pStyle w:val="Normal"/>
              <w:rPr/>
            </w:pPr>
            <w:r>
              <w:rPr>
                <w:b/>
                <w:bCs/>
                <w:i w:val="false"/>
                <w:iCs w:val="false"/>
                <w:sz w:val="19"/>
                <w:szCs w:val="19"/>
              </w:rPr>
              <w:t>Date</w:t>
            </w:r>
          </w:p>
        </w:tc>
      </w:tr>
      <w:tr>
        <w:trPr/>
        <w:tc>
          <w:tcPr>
            <w:tcW w:w="3706"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Director's Recommendation &amp; Forwarding Note</w:t>
            </w:r>
          </w:p>
        </w:tc>
        <w:tc>
          <w:tcPr>
            <w:tcW w:w="283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3706"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Joint Secretary (R&amp;D)</w:t>
            </w:r>
          </w:p>
        </w:tc>
        <w:tc>
          <w:tcPr>
            <w:tcW w:w="283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3706"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Integrated Finance Division (IFD) / Member (Finance), AEC</w:t>
            </w:r>
          </w:p>
        </w:tc>
        <w:tc>
          <w:tcPr>
            <w:tcW w:w="283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3706"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Secretary, DAE (Final CFA Approval)</w:t>
            </w:r>
          </w:p>
        </w:tc>
        <w:tc>
          <w:tcPr>
            <w:tcW w:w="283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2"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96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pacing w:before="0" w:after="160"/>
        <w:rPr/>
      </w:pPr>
      <w:r>
        <w:rPr>
          <w:i/>
          <w:iCs/>
          <w:color w:val="777777"/>
          <w:sz w:val="18"/>
          <w:szCs w:val="18"/>
        </w:rPr>
        <w:t>On final approval, the file returns to the Purchase Section, which issues the Global Purchase Order, establishes the Letter of Credit and Performance Bank Guarantee, and initiates the overseas shipping process (Step 10 — Letter of Credit &amp; PO Management).</w:t>
      </w:r>
    </w:p>
    <w:p>
      <w:pPr>
        <w:pStyle w:val="Normal"/>
        <w:spacing w:before="260" w:after="0"/>
        <w:jc w:val="center"/>
        <w:rPr/>
      </w:pPr>
      <w:r>
        <w:rPr>
          <w:i/>
          <w:iCs/>
          <w:color w:val="777777"/>
          <w:sz w:val="18"/>
          <w:szCs w:val="18"/>
        </w:rPr>
        <w:t xml:space="preserve">— </w:t>
      </w:r>
      <w:r>
        <w:rPr>
          <w:i/>
          <w:iCs/>
          <w:color w:val="777777"/>
          <w:sz w:val="18"/>
          <w:szCs w:val="18"/>
        </w:rPr>
        <w:t>End of Form —</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720" w:right="720" w:gutter="0" w:header="708" w:top="900" w:footer="708" w:bottom="90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color w:val="999999"/>
        <w:sz w:val="15"/>
        <w:szCs w:val="15"/>
      </w:rPr>
      <w:t xml:space="preserve">Page </w:t>
    </w:r>
    <w:r>
      <w:rPr/>
      <w:fldChar w:fldCharType="begin"/>
    </w:r>
    <w:r>
      <w:rPr/>
      <w:instrText xml:space="preserve"> PAGE </w:instrText>
    </w:r>
    <w:r>
      <w:rPr/>
      <w:fldChar w:fldCharType="separate"/>
    </w:r>
    <w:r>
      <w:rPr/>
      <w:t>5</w:t>
    </w:r>
    <w:r>
      <w:rPr/>
      <w:fldChar w:fldCharType="end"/>
    </w:r>
    <w:r>
      <w:rPr>
        <w:color w:val="999999"/>
        <w:sz w:val="15"/>
        <w:szCs w:val="15"/>
      </w:rPr>
      <w:t xml:space="preserve"> of </w:t>
    </w:r>
    <w:r>
      <w:rPr/>
      <w:fldChar w:fldCharType="begin"/>
    </w:r>
    <w:r>
      <w:rPr/>
      <w:instrText xml:space="preserve"> NUMPAGES </w:instrText>
    </w:r>
    <w:r>
      <w:rPr/>
      <w:fldChar w:fldCharType="separate"/>
    </w:r>
    <w:r>
      <w:rPr/>
      <w:t>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color w:val="999999"/>
        <w:sz w:val="15"/>
        <w:szCs w:val="15"/>
      </w:rPr>
      <w:t xml:space="preserve">Page </w:t>
    </w:r>
    <w:r>
      <w:rPr/>
      <w:fldChar w:fldCharType="begin"/>
    </w:r>
    <w:r>
      <w:rPr/>
      <w:instrText xml:space="preserve"> PAGE </w:instrText>
    </w:r>
    <w:r>
      <w:rPr/>
      <w:fldChar w:fldCharType="separate"/>
    </w:r>
    <w:r>
      <w:rPr/>
      <w:t>5</w:t>
    </w:r>
    <w:r>
      <w:rPr/>
      <w:fldChar w:fldCharType="end"/>
    </w:r>
    <w:r>
      <w:rPr>
        <w:color w:val="999999"/>
        <w:sz w:val="15"/>
        <w:szCs w:val="15"/>
      </w:rPr>
      <w:t xml:space="preserve"> of </w:t>
    </w:r>
    <w:r>
      <w:rPr/>
      <w:fldChar w:fldCharType="begin"/>
    </w:r>
    <w:r>
      <w:rPr/>
      <w:instrText xml:space="preserve"> NUMPAGES </w:instrText>
    </w:r>
    <w:r>
      <w:rPr/>
      <w:fldChar w:fldCharType="separate"/>
    </w:r>
    <w:r>
      <w:rPr/>
      <w:t>5</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color w:val="999999"/>
        <w:sz w:val="15"/>
        <w:szCs w:val="15"/>
      </w:rPr>
      <w:t>SINP — Purchase Requisition Form (Global Tender Enquiry)</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color w:val="999999"/>
        <w:sz w:val="15"/>
        <w:szCs w:val="15"/>
      </w:rPr>
      <w:t>SINP — Purchase Requisition Form (Global Tender Enquiry)</w:t>
    </w:r>
  </w:p>
</w:hdr>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Noto Sans Devanagari"/>
        <w:lang w:val="en-IN"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Noto Serif CJK SC" w:cs="Noto Sans Devanagari"/>
      <w:color w:val="auto"/>
      <w:kern w:val="0"/>
      <w:sz w:val="20"/>
      <w:szCs w:val="20"/>
      <w:lang w:val="en-IN"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qFormat/>
    <w:pPr/>
    <w:rPr>
      <w:sz w:val="56"/>
      <w:szCs w:val="56"/>
    </w:rPr>
  </w:style>
  <w:style w:type="paragraph" w:styleId="StrongEmphasis">
    <w:name w:val="Strong Emphasis"/>
    <w:qFormat/>
    <w:pPr>
      <w:widowControl/>
      <w:suppressAutoHyphens w:val="true"/>
      <w:bidi w:val="0"/>
      <w:spacing w:before="0" w:after="0"/>
      <w:jc w:val="left"/>
    </w:pPr>
    <w:rPr>
      <w:rFonts w:ascii="Times New Roman" w:hAnsi="Times New Roman" w:eastAsia="Noto Serif CJK SC" w:cs="Noto Sans Devanagari"/>
      <w:b/>
      <w:bCs/>
      <w:color w:val="auto"/>
      <w:kern w:val="0"/>
      <w:sz w:val="20"/>
      <w:szCs w:val="20"/>
      <w:lang w:val="en-IN" w:eastAsia="zh-CN" w:bidi="hi-IN"/>
    </w:rPr>
  </w:style>
  <w:style w:type="paragraph" w:styleId="ListParagraph">
    <w:name w:val="List Paragraph"/>
    <w:qFormat/>
    <w:pPr>
      <w:widowControl/>
      <w:suppressAutoHyphens w:val="true"/>
      <w:bidi w:val="0"/>
      <w:spacing w:before="0" w:after="0"/>
      <w:jc w:val="left"/>
    </w:pPr>
    <w:rPr>
      <w:rFonts w:ascii="Times New Roman" w:hAnsi="Times New Roman" w:eastAsia="Noto Serif CJK SC" w:cs="Noto Sans Devanagari"/>
      <w:color w:val="auto"/>
      <w:kern w:val="0"/>
      <w:sz w:val="20"/>
      <w:szCs w:val="20"/>
      <w:lang w:val="en-IN"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TotalTime>
  <Application>LibreOffice/24.2.7.2$Linux_X86_64 LibreOffice_project/420$Build-2</Application>
  <AppVersion>15.0000</AppVersion>
  <Pages>5</Pages>
  <Words>1326</Words>
  <Characters>9115</Characters>
  <CharactersWithSpaces>10546</CharactersWithSpaces>
  <Paragraphs>191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2026-07-19T16:04:46Z</dcterms:created>
  <dc:creator>Un-named</dc:creator>
  <dc:description/>
  <dc:language>en-IN</dc:language>
  <cp:lastModifiedBy/>
  <dcterms:modified xsi:type="dcterms:W3CDTF">2026-08-04T11:29:00Z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