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40"/>
        <w:jc w:val="center"/>
        <w:rPr/>
      </w:pPr>
      <w:r>
        <w:rPr>
          <w:b/>
          <w:bCs/>
          <w:color w:val="1F3864"/>
          <w:sz w:val="30"/>
          <w:szCs w:val="30"/>
        </w:rPr>
        <w:t>SAHA INSTITUTE OF NUCLEAR PHYSICS</w:t>
      </w:r>
    </w:p>
    <w:p>
      <w:pPr>
        <w:pStyle w:val="Normal"/>
        <w:spacing w:before="0" w:after="40"/>
        <w:jc w:val="center"/>
        <w:rPr/>
      </w:pPr>
      <w:r>
        <w:rPr>
          <w:color w:val="555555"/>
          <w:sz w:val="19"/>
          <w:szCs w:val="19"/>
        </w:rPr>
        <w:t>1/AF, Bidhannagar, Kolkata – 700064</w:t>
      </w:r>
    </w:p>
    <w:p>
      <w:pPr>
        <w:pStyle w:val="Normal"/>
        <w:spacing w:before="0" w:after="200"/>
        <w:jc w:val="center"/>
        <w:rPr>
          <w:i/>
          <w:i/>
          <w:iCs/>
          <w:color w:val="555555"/>
          <w:sz w:val="18"/>
          <w:szCs w:val="18"/>
        </w:rPr>
      </w:pPr>
      <w:r>
        <w:rPr/>
      </w:r>
    </w:p>
    <w:p>
      <w:pPr>
        <w:pStyle w:val="Normal"/>
        <w:pBdr>
          <w:bottom w:val="double" w:sz="8" w:space="0" w:color="1F3864"/>
        </w:pBdr>
        <w:spacing w:before="0" w:after="60"/>
        <w:jc w:val="center"/>
        <w:rPr/>
      </w:pPr>
      <w:r>
        <w:rPr>
          <w:b/>
          <w:bCs/>
          <w:sz w:val="26"/>
          <w:szCs w:val="26"/>
        </w:rPr>
        <w:t>PURCHASE REQUISITION FORM</w:t>
      </w:r>
    </w:p>
    <w:p>
      <w:pPr>
        <w:pStyle w:val="Normal"/>
        <w:spacing w:before="100" w:after="100"/>
        <w:jc w:val="center"/>
        <w:rPr/>
      </w:pPr>
      <w:r>
        <w:rPr>
          <w:b/>
          <w:bCs/>
          <w:color w:val="1F3864"/>
          <w:sz w:val="21"/>
          <w:szCs w:val="21"/>
        </w:rPr>
        <w:t>Purchase of Annual Maintenance Contract (AMC) — Form 6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For maintaining capital scientific instruments and utilities post-warranty. The Indentor must initiate the AMC file 3 months before the current warranty or previous AMC expires.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File No.: </w:t>
      </w:r>
      <w:r>
        <w:rPr>
          <w:sz w:val="20"/>
          <w:szCs w:val="20"/>
        </w:rPr>
        <w:t>__</w:t>
      </w:r>
      <w:r>
        <w:rPr>
          <w:color w:themeColor="light1" w:themeShade="a6" w:val="A6A6A6"/>
          <w:sz w:val="20"/>
          <w:szCs w:val="20"/>
        </w:rPr>
        <w:t>DIV/INDENTOR’S ID/DATE/FILE NO</w:t>
      </w:r>
      <w:r>
        <w:rPr>
          <w:sz w:val="20"/>
          <w:szCs w:val="20"/>
        </w:rPr>
        <w:t>__</w:t>
      </w:r>
      <w:r>
        <w:rPr>
          <w:b/>
          <w:bCs/>
          <w:sz w:val="20"/>
          <w:szCs w:val="20"/>
        </w:rPr>
        <w:t xml:space="preserve">        Date: </w:t>
      </w:r>
      <w:r>
        <w:rPr>
          <w:sz w:val="20"/>
          <w:szCs w:val="20"/>
        </w:rPr>
        <w:t>____________________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Proprietary Equipment (Single-Tender flow via OEM / Authorized Service Partner)       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General Utility (Two-Tender flow via Open Tender)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Comprehensive AMC 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Non-Comprehensive AMC</w:t>
      </w:r>
    </w:p>
    <w:p>
      <w:pPr>
        <w:pStyle w:val="Normal"/>
        <w:spacing w:before="100" w:after="100"/>
        <w:rPr/>
      </w:pPr>
      <w:r>
        <w:rPr>
          <w:b/>
          <w:bCs/>
          <w:sz w:val="19"/>
          <w:szCs w:val="19"/>
        </w:rPr>
        <w:t>File Movement Summary (tick / date-stamp at each stage as the file moves):</w:t>
      </w:r>
    </w:p>
    <w:tbl>
      <w:tblPr>
        <w:tblW w:w="10465" w:type="dxa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1495"/>
        <w:gridCol w:w="1494"/>
        <w:gridCol w:w="1496"/>
        <w:gridCol w:w="1494"/>
        <w:gridCol w:w="1497"/>
        <w:gridCol w:w="1493"/>
        <w:gridCol w:w="1495"/>
      </w:tblGrid>
      <w:tr>
        <w:trPr>
          <w:tblHeader w:val="true"/>
        </w:trPr>
        <w:tc>
          <w:tcPr>
            <w:tcW w:w="14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USR</w:t>
            </w:r>
          </w:p>
        </w:tc>
        <w:tc>
          <w:tcPr>
            <w:tcW w:w="14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PUR</w:t>
            </w:r>
          </w:p>
        </w:tc>
        <w:tc>
          <w:tcPr>
            <w:tcW w:w="14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PWC</w:t>
            </w:r>
          </w:p>
        </w:tc>
        <w:tc>
          <w:tcPr>
            <w:tcW w:w="14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PAC(&gt;₹5L)</w:t>
            </w:r>
          </w:p>
        </w:tc>
        <w:tc>
          <w:tcPr>
            <w:tcW w:w="14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BPC</w:t>
            </w:r>
          </w:p>
        </w:tc>
        <w:tc>
          <w:tcPr>
            <w:tcW w:w="14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CFA</w:t>
            </w:r>
          </w:p>
        </w:tc>
        <w:tc>
          <w:tcPr>
            <w:tcW w:w="14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PUR (PO)</w:t>
            </w:r>
          </w:p>
        </w:tc>
      </w:tr>
      <w:tr>
        <w:trPr/>
        <w:tc>
          <w:tcPr>
            <w:tcW w:w="14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7A2F02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1.  General Information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Division / Section: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Indentor’s ID: </w:t>
      </w:r>
      <w:r>
        <w:rPr>
          <w:sz w:val="20"/>
          <w:szCs w:val="20"/>
        </w:rPr>
        <w:t xml:space="preserve">_________________ </w:t>
      </w:r>
      <w:r>
        <w:rPr>
          <w:b/>
          <w:bCs/>
          <w:sz w:val="20"/>
          <w:szCs w:val="20"/>
        </w:rPr>
        <w:t xml:space="preserve">Indentor Name: </w:t>
      </w:r>
      <w:r>
        <w:rPr>
          <w:sz w:val="20"/>
          <w:szCs w:val="20"/>
        </w:rPr>
        <w:t>___________________________________________________________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Email ID: </w:t>
      </w:r>
      <w:r>
        <w:rPr>
          <w:sz w:val="20"/>
          <w:szCs w:val="20"/>
        </w:rPr>
        <w:t xml:space="preserve">_______________________________________ </w:t>
      </w:r>
      <w:r>
        <w:rPr>
          <w:b/>
          <w:bCs/>
          <w:sz w:val="20"/>
          <w:szCs w:val="20"/>
        </w:rPr>
        <w:t xml:space="preserve">Phone No. (Extn. / Mobile): </w:t>
      </w:r>
      <w:r>
        <w:rPr>
          <w:sz w:val="20"/>
          <w:szCs w:val="20"/>
        </w:rPr>
        <w:t>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Equipment / Utility Name, Make &amp; Model: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Serial No. / Asset ID: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Date of Installation: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Original Equipment Cost (₹):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Date of Expiry of Current Warranty / Previous AMC: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Estimated Annual AMC Value (₹):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hd w:val="clear" w:fill="7A2F02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2.  Maintenance Review &amp; Proposal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1 — Maintenance Review &amp; Proposal (to be initiated 3 months before expiry)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Equipment Performance History Log attached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Downtime Record attached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Details of Past Repair Costs attached</w:t>
      </w:r>
    </w:p>
    <w:p>
      <w:pPr>
        <w:pStyle w:val="Normal"/>
        <w:spacing w:before="0" w:after="100"/>
        <w:rPr/>
      </w:pPr>
      <w:r>
        <w:rPr>
          <w:b/>
          <w:bCs/>
          <w:sz w:val="20"/>
          <w:szCs w:val="20"/>
        </w:rPr>
        <w:t>Justification establishing the necessity of the contract (Comprehensive vs. Non-Comprehensive):</w:t>
      </w:r>
    </w:p>
    <w:p>
      <w:pPr>
        <w:pStyle w:val="Normal"/>
        <w:pBdr>
          <w:bottom w:val="single" w:sz="4" w:space="0" w:color="999999"/>
        </w:pBdr>
        <w:spacing w:before="0" w:after="160"/>
        <w:rPr/>
      </w:pPr>
      <w:r>
        <w:rPr>
          <w:sz w:val="19"/>
          <w:szCs w:val="19"/>
        </w:rPr>
        <w:t xml:space="preserve"> </w:t>
      </w:r>
    </w:p>
    <w:p>
      <w:pPr>
        <w:pStyle w:val="Normal"/>
        <w:pBdr>
          <w:bottom w:val="single" w:sz="4" w:space="0" w:color="999999"/>
        </w:pBdr>
        <w:spacing w:before="0" w:after="160"/>
        <w:rPr/>
      </w:pPr>
      <w:r>
        <w:rPr>
          <w:sz w:val="19"/>
          <w:szCs w:val="19"/>
        </w:rPr>
        <w:t xml:space="preserve"> 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4125"/>
        <w:gridCol w:w="2101"/>
        <w:gridCol w:w="2494"/>
        <w:gridCol w:w="1745"/>
      </w:tblGrid>
      <w:tr>
        <w:trPr>
          <w:tblHeader w:val="true"/>
        </w:trPr>
        <w:tc>
          <w:tcPr>
            <w:tcW w:w="4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Name</w:t>
            </w:r>
          </w:p>
        </w:tc>
        <w:tc>
          <w:tcPr>
            <w:tcW w:w="2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Role</w:t>
            </w:r>
          </w:p>
        </w:tc>
        <w:tc>
          <w:tcPr>
            <w:tcW w:w="24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Signature</w:t>
            </w:r>
          </w:p>
        </w:tc>
        <w:tc>
          <w:tcPr>
            <w:tcW w:w="17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4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Indentor / User</w:t>
            </w:r>
          </w:p>
        </w:tc>
        <w:tc>
          <w:tcPr>
            <w:tcW w:w="24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Head of Division (HoD)</w:t>
            </w:r>
          </w:p>
        </w:tc>
        <w:tc>
          <w:tcPr>
            <w:tcW w:w="24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7A2F02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3.  Rate Collection &amp; Scope Sourcing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2 — Rate Collection &amp; Scope Sourcing (Purchase Section)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Proprietary Equipment: a direct AMC quote is obtained from the OEM / Authorized Service Partner, following the Single-Tender flow. General Utilities: an open tender is floated to identify service providers, following the pathway of procurement through Tendering (Two-Tender flow).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Service Provider / OEM / Authorized Partner Approached: </w:t>
      </w:r>
      <w:r>
        <w:rPr>
          <w:sz w:val="20"/>
          <w:szCs w:val="20"/>
        </w:rPr>
        <w:t>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Single-Tender Enquiry / NIT Reference No. &amp; Date: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Quoted Annual AMC Rate (₹):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hd w:val="clear" w:fill="7A2F02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4.  Rate &amp; Scope Evaluation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3 — Rate &amp; Scope Evaluation (PWC)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PWC reviews the scope of work and compares the AMC rate against standard parameters (typically 2%–10% of the original equipment cost), and verifies the equipment's logbook and past maintenance history to assess technical viability.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067"/>
        <w:gridCol w:w="1854"/>
        <w:gridCol w:w="2401"/>
        <w:gridCol w:w="2286"/>
        <w:gridCol w:w="1858"/>
      </w:tblGrid>
      <w:tr>
        <w:trPr>
          <w:tblHeader w:val="true"/>
        </w:trPr>
        <w:tc>
          <w:tcPr>
            <w:tcW w:w="20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No. of Preventive Maintenance Visits</w:t>
            </w:r>
          </w:p>
        </w:tc>
        <w:tc>
          <w:tcPr>
            <w:tcW w:w="18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Spare Parts Included (Y/N)</w:t>
            </w:r>
          </w:p>
        </w:tc>
        <w:tc>
          <w:tcPr>
            <w:tcW w:w="24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Breakdown Response Time Committed</w:t>
            </w:r>
          </w:p>
        </w:tc>
        <w:tc>
          <w:tcPr>
            <w:tcW w:w="22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AMC Rate as % of Equipment Cost</w:t>
            </w:r>
          </w:p>
        </w:tc>
        <w:tc>
          <w:tcPr>
            <w:tcW w:w="185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Within 2%–10% Benchmark (Y/N)</w:t>
            </w:r>
          </w:p>
        </w:tc>
      </w:tr>
      <w:tr>
        <w:trPr/>
        <w:tc>
          <w:tcPr>
            <w:tcW w:w="20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140" w:after="100"/>
        <w:rPr/>
      </w:pPr>
      <w:r>
        <w:rPr>
          <w:b/>
          <w:bCs/>
          <w:sz w:val="20"/>
          <w:szCs w:val="20"/>
        </w:rPr>
        <w:t>Assessment of technical viability (logbook &amp; past maintenance history reviewed):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Asset technically viable — AMC recommended 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Asset has outlived its economic lifespan — recommended to be delisted from AMC</w:t>
      </w:r>
    </w:p>
    <w:p>
      <w:pPr>
        <w:pStyle w:val="Normal"/>
        <w:spacing w:before="0" w:after="100"/>
        <w:rPr/>
      </w:pPr>
      <w:r>
        <w:rPr>
          <w:b/>
          <w:bCs/>
          <w:sz w:val="20"/>
          <w:szCs w:val="20"/>
        </w:rPr>
        <w:t>Remarks:</w:t>
      </w:r>
    </w:p>
    <w:p>
      <w:pPr>
        <w:pStyle w:val="Normal"/>
        <w:pBdr>
          <w:bottom w:val="single" w:sz="4" w:space="0" w:color="999999"/>
        </w:pBdr>
        <w:spacing w:before="0" w:after="160"/>
        <w:rPr/>
      </w:pPr>
      <w:r>
        <w:rPr>
          <w:sz w:val="19"/>
          <w:szCs w:val="19"/>
        </w:rPr>
        <w:t xml:space="preserve"> 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33"/>
        <w:gridCol w:w="2837"/>
        <w:gridCol w:w="2834"/>
        <w:gridCol w:w="1961"/>
      </w:tblGrid>
      <w:tr>
        <w:trPr>
          <w:tblHeader w:val="true"/>
        </w:trPr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Name</w:t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Role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Signature</w:t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808080"/>
              </w:rPr>
            </w:pPr>
            <w:r>
              <w:rPr>
                <w:i/>
                <w:iCs/>
                <w:color w:val="808080"/>
              </w:rPr>
              <w:t>(Attach MoM of PWC)</w:t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PWC — Members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7A2F02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5.  Service Clause Pre-Audit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4 — Service Clause Pre-Audit (mandatory above ₹5,00,000)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Pre-Audit Cell vets the draft contract terms, focusing on penalty clauses for delayed servicing, back-ended payment milestones, and termination conditions, ensuring the Institute does not pay in advance without performance guarantees.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Penalty clauses for delayed servicing verified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Payment milestones confirmed back-ended (e.g., quarterly / half-yearly, post-service delivery)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Termination conditions reviewed and found adequate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No advance payment of 100% to the vendor without performance guarantees</w:t>
      </w:r>
    </w:p>
    <w:p>
      <w:pPr>
        <w:pStyle w:val="Normal"/>
        <w:spacing w:before="0" w:after="100"/>
        <w:rPr/>
      </w:pPr>
      <w:r>
        <w:rPr>
          <w:b/>
          <w:bCs/>
          <w:sz w:val="20"/>
          <w:szCs w:val="20"/>
        </w:rPr>
        <w:t>Observations (if any):</w:t>
      </w:r>
    </w:p>
    <w:p>
      <w:pPr>
        <w:pStyle w:val="Normal"/>
        <w:pBdr>
          <w:bottom w:val="single" w:sz="4" w:space="0" w:color="999999"/>
        </w:pBdr>
        <w:spacing w:before="0" w:after="160"/>
        <w:rPr/>
      </w:pPr>
      <w:r>
        <w:rPr>
          <w:sz w:val="19"/>
          <w:szCs w:val="19"/>
        </w:rPr>
        <w:t xml:space="preserve"> 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33"/>
        <w:gridCol w:w="2837"/>
        <w:gridCol w:w="2834"/>
        <w:gridCol w:w="1961"/>
      </w:tblGrid>
      <w:tr>
        <w:trPr>
          <w:tblHeader w:val="true"/>
        </w:trPr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Name</w:t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Role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Signature</w:t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808080"/>
              </w:rPr>
            </w:pPr>
            <w:r>
              <w:rPr>
                <w:i/>
                <w:iCs/>
                <w:color w:val="808080"/>
              </w:rPr>
              <w:t>(Attach MoM of PAC)</w:t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Pre-Audit Cell — Members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7A2F02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6.  Budget &amp; Planning Committee (BPC) — Budget Allocation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5 — Budget Allocation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Capital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Revenue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Name of the Project &amp; Object Head: </w:t>
      </w:r>
      <w:r>
        <w:rPr>
          <w:sz w:val="20"/>
          <w:szCs w:val="20"/>
        </w:rPr>
        <w:t>______________________________________________________________________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Contract Period (No. of Years / Renewal Terms): </w:t>
      </w:r>
      <w:r>
        <w:rPr>
          <w:sz w:val="20"/>
          <w:szCs w:val="20"/>
        </w:rPr>
        <w:t>_______________________________________________________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33"/>
        <w:gridCol w:w="2837"/>
        <w:gridCol w:w="2834"/>
        <w:gridCol w:w="1961"/>
      </w:tblGrid>
      <w:tr>
        <w:trPr>
          <w:tblHeader w:val="true"/>
        </w:trPr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Name</w:t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Role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Signature</w:t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808080"/>
              </w:rPr>
            </w:pPr>
            <w:r>
              <w:rPr>
                <w:i/>
                <w:iCs/>
                <w:color w:val="808080"/>
              </w:rPr>
              <w:t>(Attach MoM of BPC)</w:t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BPC — Members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7A2F02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7.  Approval of Competent Financial Authority (CFA) — Authorization &amp; Award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6 — Authorization &amp; Award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Service Provider / OEM Recommended for Award: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Sanctioned Annual AMC Value (₹):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Registrar’s Signature &amp; Date: </w:t>
      </w:r>
      <w:r>
        <w:rPr>
          <w:b w:val="false"/>
          <w:bCs w:val="false"/>
          <w:sz w:val="20"/>
          <w:szCs w:val="20"/>
        </w:rPr>
        <w:t>____________________________________________________________</w:t>
      </w:r>
    </w:p>
    <w:p>
      <w:pPr>
        <w:pStyle w:val="Normal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5234"/>
        <w:gridCol w:w="5231"/>
      </w:tblGrid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E0C2CD" w:val="clea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Decision of Competent Financial Authority (CFA) — Financial Sanction — Annual Maintenance Contract</w:t>
            </w:r>
          </w:p>
        </w:tc>
      </w:tr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>
            <w:pPr>
              <w:pStyle w:val="Normal"/>
              <w:rPr/>
            </w:pPr>
            <w:r>
              <w:rPr>
                <w:i/>
                <w:iCs/>
                <w:color w:val="777777"/>
                <w:sz w:val="18"/>
                <w:szCs w:val="18"/>
              </w:rPr>
              <w:t>On approval, the file returns to the Purchase Section, which issues the formal AMC Order to the recommended service provider.</w:t>
            </w:r>
          </w:p>
        </w:tc>
      </w:tr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bottom w:w="100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 xml:space="preserve">Approved        </w:t>
            </w: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 xml:space="preserve">Approved with Modifications        </w:t>
            </w: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>Not Approved / Returned</w:t>
            </w:r>
          </w:p>
          <w:p>
            <w:pPr>
              <w:pStyle w:val="Normal"/>
              <w:spacing w:before="0" w:after="100"/>
              <w:rPr/>
            </w:pPr>
            <w:r>
              <w:rPr>
                <w:b/>
                <w:bCs/>
                <w:sz w:val="19"/>
                <w:szCs w:val="19"/>
              </w:rPr>
              <w:t>Remarks / Modifications (if any):</w:t>
            </w:r>
          </w:p>
          <w:p>
            <w:pPr>
              <w:pStyle w:val="Normal"/>
              <w:pBdr>
                <w:bottom w:val="single" w:sz="4" w:space="0" w:color="999999"/>
              </w:pBdr>
              <w:spacing w:before="0" w:after="16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</w:tr>
      <w:tr>
        <w:trPr/>
        <w:tc>
          <w:tcPr>
            <w:tcW w:w="52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Designation of CFA (DIRECTOR):</w:t>
            </w:r>
          </w:p>
        </w:tc>
        <w:tc>
          <w:tcPr>
            <w:tcW w:w="5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Signature &amp; Date:</w:t>
            </w:r>
          </w:p>
        </w:tc>
      </w:tr>
      <w:tr>
        <w:trPr>
          <w:trHeight w:val="401" w:hRule="atLeast"/>
        </w:trPr>
        <w:tc>
          <w:tcPr>
            <w:tcW w:w="52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260" w:after="0"/>
        <w:jc w:val="center"/>
        <w:rPr/>
      </w:pPr>
      <w:r>
        <w:rPr>
          <w:i/>
          <w:iCs/>
          <w:color w:val="777777"/>
          <w:sz w:val="18"/>
          <w:szCs w:val="18"/>
        </w:rPr>
        <w:t xml:space="preserve">— </w:t>
      </w:r>
      <w:r>
        <w:rPr>
          <w:i/>
          <w:iCs/>
          <w:color w:val="777777"/>
          <w:sz w:val="18"/>
          <w:szCs w:val="18"/>
        </w:rPr>
        <w:t>End of Form —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720" w:right="720" w:gutter="0" w:header="708" w:top="900" w:footer="708" w:bottom="90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color w:val="999999"/>
        <w:sz w:val="15"/>
        <w:szCs w:val="15"/>
      </w:rPr>
      <w:t xml:space="preserve">Page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r>
      <w:rPr>
        <w:color w:val="999999"/>
        <w:sz w:val="15"/>
        <w:szCs w:val="15"/>
      </w:rPr>
      <w:t xml:space="preserve"> of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color w:val="999999"/>
        <w:sz w:val="15"/>
        <w:szCs w:val="15"/>
      </w:rPr>
      <w:t xml:space="preserve">Page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r>
      <w:rPr>
        <w:color w:val="999999"/>
        <w:sz w:val="15"/>
        <w:szCs w:val="15"/>
      </w:rPr>
      <w:t xml:space="preserve"> of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/>
    </w:pPr>
    <w:r>
      <w:rPr>
        <w:color w:val="999999"/>
        <w:sz w:val="15"/>
        <w:szCs w:val="15"/>
      </w:rPr>
      <w:t>SINP — Purchase Requisition Form (Annual Maintenance Contract)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/>
    </w:pPr>
    <w:r>
      <w:rPr>
        <w:color w:val="999999"/>
        <w:sz w:val="15"/>
        <w:szCs w:val="15"/>
      </w:rPr>
      <w:t>SINP — Purchase Requisition Form (Annual Maintenance Contract)</w:t>
    </w:r>
  </w:p>
</w:hdr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 Devanagari"/>
        <w:lang w:val="en-IN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Noto Sans Devanagari"/>
      <w:color w:val="auto"/>
      <w:kern w:val="0"/>
      <w:sz w:val="20"/>
      <w:szCs w:val="20"/>
      <w:lang w:val="en-IN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Noto Sans Devanagari"/>
      <w:b/>
      <w:bCs/>
      <w:color w:val="auto"/>
      <w:kern w:val="0"/>
      <w:sz w:val="20"/>
      <w:szCs w:val="20"/>
      <w:lang w:val="en-IN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Noto Sans Devanagari"/>
      <w:color w:val="auto"/>
      <w:kern w:val="0"/>
      <w:sz w:val="20"/>
      <w:szCs w:val="20"/>
      <w:lang w:val="en-IN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LibreOffice/24.2.7.2$Linux_X86_64 LibreOffice_project/420$Build-2</Application>
  <AppVersion>15.0000</AppVersion>
  <Pages>3</Pages>
  <Words>655</Words>
  <Characters>4657</Characters>
  <CharactersWithSpaces>5333</CharactersWithSpaces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2026-07-19T15:56:47Z</dcterms:created>
  <dc:creator>Un-named</dc:creator>
  <dc:description/>
  <dc:language>en-IN</dc:language>
  <cp:lastModifiedBy/>
  <dcterms:modified xsi:type="dcterms:W3CDTF">2026-08-04T11:29:13Z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